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Garderen / 1904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lang w:val="nl-NL"/>
        </w:rPr>
      </w:pPr>
      <w:r>
        <w:rPr>
          <w:i/>
          <w:iCs/>
          <w:lang w:val="nl-NL"/>
        </w:rPr>
        <w:t>Neogotische rechtgesloten zaalkerk uit 1859. De toren dateert uit de vroege 14e eeuw en werd in de 15e eeuw met een geleding verhoogd. De spits dateert uit de 18e eeuw. In de toren een klok gegoten door Peter van Trier en Jan Philipsen (1634).</w:t>
      </w:r>
    </w:p>
    <w:p>
      <w:pPr>
        <w:pStyle w:val="T1"/>
        <w:jc w:val="start"/>
        <w:rPr>
          <w:lang w:val="nl-NL"/>
        </w:rPr>
      </w:pPr>
      <w:r>
        <w:rPr>
          <w:lang w:val="nl-NL"/>
        </w:rPr>
      </w:r>
    </w:p>
    <w:p>
      <w:pPr>
        <w:pStyle w:val="T1"/>
        <w:jc w:val="start"/>
        <w:rPr>
          <w:lang w:val="nl-NL"/>
        </w:rPr>
      </w:pPr>
      <w:r>
        <w:rPr>
          <w:lang w:val="nl-NL"/>
        </w:rPr>
        <w:t>Kas: 1904</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lang w:val="nl-NL"/>
        </w:rPr>
        <w:t xml:space="preserve">Een vijfdelig front, met spitse zijtorens, een ronde hoge middentoren en tussenvelden op verhoogde pijpvoeten die zijn opgelegd met vierpassen. </w:t>
      </w:r>
      <w:r>
        <w:rPr/>
        <w:t xml:space="preserve">De onderkas is gedecoreerd met panelen. Onder de pijptorens zijn consoles aangebracht. Een algemeen kenmerk bij Van Drutens orgelkassen is dat het decoratiewerk soms een wat abstracte, industriële indruk maakt. Dat is hier slechts het geval bij de vleugelstukken. </w:t>
      </w:r>
      <w:r>
        <w:rPr>
          <w:lang w:val="nl-NL"/>
        </w:rPr>
        <w:t xml:space="preserve">De decoratie ter blindering van pijpvoeten en -uiteinden bestaat uit rankwerk met bloemen, bladeren en voluten, een beeldtaal die is ook gebruikt in de opzetstukken van de drie hoofdtorens van de kas. </w:t>
      </w:r>
      <w:r>
        <w:rPr/>
        <w:t xml:space="preserve">Het opzetstuk in het midden heeft als bekroning een harp. De kleurstelling van het geheel is allerminst gelukkig gekozen. </w:t>
      </w:r>
      <w:r>
        <w:rPr>
          <w:lang w:val="nl-NL"/>
        </w:rPr>
        <w:t>De bordeauxrode kas lijkt te hangen in de blauwgroene balustrade, het contrast tussen beide kleuren versterkt slechts het idee dat de orgelkas een restant is van een instrument dat ooit bestond.</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Maarten Seybel, </w:t>
      </w:r>
      <w:r>
        <w:rPr>
          <w:i/>
          <w:iCs/>
          <w:lang w:val="nl-NL"/>
        </w:rPr>
        <w:t>Orgels op de Veluwe.</w:t>
      </w:r>
      <w:r>
        <w:rPr>
          <w:lang w:val="nl-NL"/>
        </w:rPr>
        <w:t xml:space="preserve"> Sneek, 1962, 37.</w:t>
      </w:r>
    </w:p>
    <w:p>
      <w:pPr>
        <w:pStyle w:val="T3Lit"/>
        <w:rPr/>
      </w:pPr>
      <w:r>
        <w:rPr>
          <w:lang w:val="nl-NL"/>
        </w:rPr>
        <w:t xml:space="preserve">Maarten Seijbel, </w:t>
      </w:r>
      <w:r>
        <w:rPr>
          <w:i/>
          <w:lang w:val="nl-NL"/>
        </w:rPr>
        <w:t>Zes eeuwen Veluwse Orgels</w:t>
      </w:r>
      <w:r>
        <w:rPr>
          <w:lang w:val="nl-NL"/>
        </w:rPr>
        <w:t>. Zaltbommel, 1975, 274-275.</w:t>
      </w:r>
    </w:p>
    <w:p>
      <w:pPr>
        <w:pStyle w:val="T3Lit"/>
        <w:rPr>
          <w:lang w:val="nl-NL"/>
        </w:rPr>
      </w:pPr>
      <w:r>
        <w:rPr>
          <w:lang w:val="nl-NL"/>
        </w:rPr>
      </w:r>
    </w:p>
    <w:p>
      <w:pPr>
        <w:pStyle w:val="T3Lit"/>
        <w:rPr>
          <w:lang w:val="nl-NL"/>
        </w:rPr>
      </w:pPr>
      <w:r>
        <w:rPr>
          <w:b/>
          <w:bCs/>
          <w:lang w:val="nl-NL"/>
        </w:rPr>
        <w:t>Niet gepubliceerde bronnen</w:t>
      </w:r>
    </w:p>
    <w:p>
      <w:pPr>
        <w:pStyle w:val="T3Lit"/>
        <w:rPr>
          <w:lang w:val="nl-NL"/>
        </w:rPr>
      </w:pPr>
      <w:r>
        <w:rPr>
          <w:lang w:val="nl-NL"/>
        </w:rPr>
        <w:t>Archief Orgelmakerij Reil.</w:t>
      </w:r>
    </w:p>
    <w:p>
      <w:pPr>
        <w:pStyle w:val="T3Lit"/>
        <w:rPr>
          <w:lang w:val="nl-NL"/>
        </w:rPr>
      </w:pPr>
      <w:r>
        <w:rPr>
          <w:lang w:val="nl-NL"/>
        </w:rPr>
        <w:t>Informatie verstrekt door G.C. Klop.</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 van Druten</w:t>
      </w:r>
    </w:p>
    <w:p>
      <w:pPr>
        <w:pStyle w:val="T1"/>
        <w:jc w:val="start"/>
        <w:rPr>
          <w:lang w:val="nl-NL"/>
        </w:rPr>
      </w:pPr>
      <w:r>
        <w:rPr>
          <w:lang w:val="nl-NL"/>
        </w:rPr>
        <w:t>2. E. Leeflang</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1. 1904</w:t>
      </w:r>
    </w:p>
    <w:p>
      <w:pPr>
        <w:pStyle w:val="T1"/>
        <w:jc w:val="start"/>
        <w:rPr>
          <w:lang w:val="nl-NL"/>
        </w:rPr>
      </w:pPr>
      <w:r>
        <w:rPr>
          <w:lang w:val="nl-NL"/>
        </w:rPr>
        <w:t>2. 1978</w:t>
      </w:r>
    </w:p>
    <w:p>
      <w:pPr>
        <w:pStyle w:val="T1"/>
        <w:jc w:val="start"/>
        <w:rPr>
          <w:lang w:val="nl-NL"/>
        </w:rPr>
      </w:pPr>
      <w:r>
        <w:rPr>
          <w:lang w:val="nl-NL"/>
        </w:rPr>
      </w:r>
    </w:p>
    <w:p>
      <w:pPr>
        <w:pStyle w:val="T1"/>
        <w:jc w:val="start"/>
        <w:rPr/>
      </w:pPr>
      <w:r>
        <w:rPr/>
        <w:t>Dispositie 1904</w:t>
      </w:r>
    </w:p>
    <w:tbl>
      <w:tblPr>
        <w:tblW w:w="3850" w:type="dxa"/>
        <w:jc w:val="start"/>
        <w:tblInd w:w="-70" w:type="dxa"/>
        <w:tblLayout w:type="fixed"/>
        <w:tblCellMar>
          <w:top w:w="0" w:type="dxa"/>
          <w:start w:w="70" w:type="dxa"/>
          <w:bottom w:w="0" w:type="dxa"/>
          <w:end w:w="70" w:type="dxa"/>
        </w:tblCellMar>
      </w:tblPr>
      <w:tblGrid>
        <w:gridCol w:w="1330"/>
        <w:gridCol w:w="720"/>
        <w:gridCol w:w="1080"/>
        <w:gridCol w:w="72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Openfluit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r>
              <w:rPr>
                <w:lang w:val="en-GB"/>
              </w:rPr>
              <w:t>'</w:t>
            </w:r>
          </w:p>
          <w:p>
            <w:pPr>
              <w:pStyle w:val="T4dispositie"/>
              <w:rPr>
                <w:lang w:val="nl-NL"/>
              </w:rPr>
            </w:pPr>
            <w:r>
              <w:rPr>
                <w:lang w:val="nl-NL"/>
              </w:rPr>
              <w:t>8'</w:t>
            </w:r>
          </w:p>
        </w:tc>
        <w:tc>
          <w:tcPr>
            <w:tcW w:w="1080" w:type="dxa"/>
            <w:tcBorders/>
          </w:tcPr>
          <w:p>
            <w:pPr>
              <w:pStyle w:val="T4dispositie"/>
              <w:rPr>
                <w:i/>
                <w:i/>
                <w:lang w:val="nl-NL"/>
              </w:rPr>
            </w:pPr>
            <w:r>
              <w:rPr>
                <w:i/>
                <w:lang w:val="nl-NL"/>
              </w:rPr>
              <w:t>Pedaal</w:t>
            </w:r>
          </w:p>
          <w:p>
            <w:pPr>
              <w:pStyle w:val="T4dispositie"/>
              <w:rPr>
                <w:lang w:val="nl-NL"/>
              </w:rPr>
            </w:pPr>
            <w:r>
              <w:rPr>
                <w:lang w:val="nl-NL"/>
              </w:rPr>
              <w:t>Bourdon</w:t>
            </w:r>
          </w:p>
        </w:tc>
        <w:tc>
          <w:tcPr>
            <w:tcW w:w="720" w:type="dxa"/>
            <w:tcBorders/>
          </w:tcPr>
          <w:p>
            <w:pPr>
              <w:pStyle w:val="T4dispositie"/>
              <w:snapToGrid w:val="false"/>
              <w:rPr>
                <w:lang w:val="nl-NL"/>
              </w:rPr>
            </w:pPr>
            <w:r>
              <w:rPr>
                <w:lang w:val="nl-NL"/>
              </w:rPr>
            </w:r>
          </w:p>
          <w:p>
            <w:pPr>
              <w:pStyle w:val="T4dispositie"/>
              <w:rPr>
                <w:lang w:val="nl-NL"/>
              </w:rPr>
            </w:pPr>
            <w:r>
              <w:rPr>
                <w:lang w:val="nl-NL"/>
              </w:rPr>
              <w:t>16' tr</w:t>
            </w:r>
          </w:p>
        </w:tc>
      </w:tr>
    </w:tbl>
    <w:p>
      <w:pPr>
        <w:pStyle w:val="T1"/>
        <w:jc w:val="start"/>
        <w:rPr>
          <w:sz w:val="20"/>
          <w:lang w:val="nl-NL"/>
        </w:rPr>
      </w:pPr>
      <w:r>
        <w:rPr>
          <w:sz w:val="20"/>
          <w:lang w:val="nl-NL"/>
        </w:rPr>
      </w:r>
    </w:p>
    <w:p>
      <w:pPr>
        <w:pStyle w:val="Normal"/>
        <w:rPr>
          <w:rFonts w:ascii="Times New Roman" w:hAnsi="Times New Roman" w:cs="Times New Roman"/>
          <w:sz w:val="20"/>
        </w:rPr>
      </w:pPr>
      <w:r>
        <w:rPr>
          <w:rFonts w:cs="Times New Roman" w:ascii="Times New Roman" w:hAnsi="Times New Roman"/>
          <w:sz w:val="20"/>
        </w:rPr>
        <w:t>pedaalkoppel</w:t>
      </w:r>
    </w:p>
    <w:p>
      <w:pPr>
        <w:pStyle w:val="Normal"/>
        <w:rPr>
          <w:rFonts w:ascii="Times New Roman" w:hAnsi="Times New Roman" w:cs="Times New Roman"/>
          <w:sz w:val="20"/>
        </w:rPr>
      </w:pPr>
      <w:r>
        <w:rPr>
          <w:rFonts w:cs="Times New Roman" w:ascii="Times New Roman" w:hAnsi="Times New Roman"/>
          <w:sz w:val="20"/>
        </w:rPr>
        <w:t>tremulant</w:t>
      </w:r>
    </w:p>
    <w:p>
      <w:pPr>
        <w:pStyle w:val="T1"/>
        <w:jc w:val="start"/>
        <w:rPr>
          <w:rFonts w:ascii="Times New Roman" w:hAnsi="Times New Roman" w:cs="Times New Roman"/>
          <w:sz w:val="20"/>
          <w:lang w:val="nl-NL"/>
        </w:rPr>
      </w:pPr>
      <w:r>
        <w:rPr>
          <w:rFonts w:cs="Times New Roman"/>
          <w:sz w:val="20"/>
          <w:lang w:val="nl-NL"/>
        </w:rPr>
      </w:r>
    </w:p>
    <w:p>
      <w:pPr>
        <w:pStyle w:val="T1"/>
        <w:jc w:val="start"/>
        <w:rPr>
          <w:lang w:val="nl-NL"/>
        </w:rPr>
      </w:pPr>
      <w:r>
        <w:rPr>
          <w:lang w:val="nl-NL"/>
        </w:rPr>
        <w:t>Onbekend moment</w:t>
      </w:r>
    </w:p>
    <w:p>
      <w:pPr>
        <w:pStyle w:val="T1"/>
        <w:numPr>
          <w:ilvl w:val="0"/>
          <w:numId w:val="2"/>
        </w:numPr>
        <w:jc w:val="start"/>
        <w:rPr>
          <w:lang w:val="en-GB"/>
        </w:rPr>
      </w:pPr>
      <w:r>
        <w:rPr>
          <w:lang w:val="en-GB"/>
        </w:rPr>
        <w:t>- Trompet B/D 8'</w:t>
      </w:r>
    </w:p>
    <w:p>
      <w:pPr>
        <w:pStyle w:val="T1"/>
        <w:jc w:val="start"/>
        <w:rPr>
          <w:lang w:val="en-GB"/>
        </w:rPr>
      </w:pPr>
      <w:r>
        <w:rPr>
          <w:lang w:val="en-GB"/>
        </w:rPr>
      </w:r>
    </w:p>
    <w:p>
      <w:pPr>
        <w:pStyle w:val="T1"/>
        <w:jc w:val="start"/>
        <w:rPr>
          <w:lang w:val="nl-NL"/>
        </w:rPr>
      </w:pPr>
      <w:r>
        <w:rPr>
          <w:lang w:val="nl-NL"/>
        </w:rPr>
        <w:t>E. Leeflang 1960</w:t>
      </w:r>
    </w:p>
    <w:p>
      <w:pPr>
        <w:pStyle w:val="T1"/>
        <w:numPr>
          <w:ilvl w:val="0"/>
          <w:numId w:val="2"/>
        </w:numPr>
        <w:jc w:val="start"/>
        <w:rPr>
          <w:lang w:val="nl-NL"/>
        </w:rPr>
      </w:pPr>
      <w:r>
        <w:rPr>
          <w:lang w:val="nl-NL"/>
        </w:rPr>
        <w:t>restauratie</w:t>
      </w:r>
    </w:p>
    <w:p>
      <w:pPr>
        <w:pStyle w:val="T1"/>
        <w:numPr>
          <w:ilvl w:val="0"/>
          <w:numId w:val="4"/>
        </w:numPr>
        <w:jc w:val="start"/>
        <w:rPr>
          <w:lang w:val="nl-NL"/>
        </w:rPr>
      </w:pPr>
      <w:r>
        <w:rPr>
          <w:lang w:val="nl-NL"/>
        </w:rPr>
        <w:t>Man - Bourdon 16', - Violon 8', - Fluit 4', + Quint 2 2/3', + Mixtuur 3-4 st., + Trompet B/D 8'</w:t>
      </w:r>
    </w:p>
    <w:p>
      <w:pPr>
        <w:pStyle w:val="T1"/>
        <w:jc w:val="start"/>
        <w:rPr>
          <w:lang w:val="nl-NL"/>
        </w:rPr>
      </w:pPr>
      <w:r>
        <w:rPr>
          <w:lang w:val="nl-NL"/>
        </w:rPr>
      </w:r>
    </w:p>
    <w:p>
      <w:pPr>
        <w:pStyle w:val="T1"/>
        <w:jc w:val="start"/>
        <w:rPr>
          <w:lang w:val="nl-NL"/>
        </w:rPr>
      </w:pPr>
      <w:r>
        <w:rPr>
          <w:lang w:val="nl-NL"/>
        </w:rPr>
        <w:t>E. Leeflang 1978</w:t>
      </w:r>
    </w:p>
    <w:p>
      <w:pPr>
        <w:pStyle w:val="T1"/>
        <w:numPr>
          <w:ilvl w:val="0"/>
          <w:numId w:val="4"/>
        </w:numPr>
        <w:jc w:val="start"/>
        <w:rPr>
          <w:lang w:val="nl-NL"/>
        </w:rPr>
      </w:pPr>
      <w:r>
        <w:rPr>
          <w:lang w:val="nl-NL"/>
        </w:rPr>
        <w:t>orgel verbouwd en uitgebreid met NW</w:t>
      </w:r>
    </w:p>
    <w:p>
      <w:pPr>
        <w:pStyle w:val="T1"/>
        <w:numPr>
          <w:ilvl w:val="0"/>
          <w:numId w:val="4"/>
        </w:numPr>
        <w:jc w:val="start"/>
        <w:rPr>
          <w:lang w:val="nl-NL"/>
        </w:rPr>
      </w:pPr>
      <w:r>
        <w:rPr>
          <w:lang w:val="nl-NL"/>
        </w:rPr>
        <w:t>nieuwe klaviatuur en mechanieken</w:t>
      </w:r>
    </w:p>
    <w:p>
      <w:pPr>
        <w:pStyle w:val="T1"/>
        <w:numPr>
          <w:ilvl w:val="0"/>
          <w:numId w:val="4"/>
        </w:numPr>
        <w:jc w:val="start"/>
        <w:rPr>
          <w:lang w:val="nl-NL"/>
        </w:rPr>
      </w:pPr>
      <w:r>
        <w:rPr>
          <w:lang w:val="nl-NL"/>
        </w:rPr>
        <w:t>nieuwe windladen</w:t>
      </w:r>
    </w:p>
    <w:p>
      <w:pPr>
        <w:pStyle w:val="T1"/>
        <w:numPr>
          <w:ilvl w:val="0"/>
          <w:numId w:val="4"/>
        </w:numPr>
        <w:jc w:val="start"/>
        <w:rPr>
          <w:lang w:val="nl-NL"/>
        </w:rPr>
      </w:pPr>
      <w:r>
        <w:rPr>
          <w:lang w:val="nl-NL"/>
        </w:rPr>
        <w:t>dispositie gewijzigd</w:t>
      </w:r>
    </w:p>
    <w:p>
      <w:pPr>
        <w:pStyle w:val="T1"/>
        <w:jc w:val="start"/>
        <w:rPr>
          <w:lang w:val="nl-NL"/>
        </w:rPr>
      </w:pPr>
      <w:r>
        <w:rPr>
          <w:lang w:val="nl-NL"/>
        </w:rPr>
      </w:r>
    </w:p>
    <w:p>
      <w:pPr>
        <w:pStyle w:val="T1"/>
        <w:jc w:val="start"/>
        <w:rPr>
          <w:lang w:val="nl-NL"/>
        </w:rPr>
      </w:pPr>
      <w:r>
        <w:rPr>
          <w:lang w:val="nl-NL"/>
        </w:rPr>
        <w:t>G.C. Klop 2005</w:t>
      </w:r>
    </w:p>
    <w:p>
      <w:pPr>
        <w:pStyle w:val="T1"/>
        <w:numPr>
          <w:ilvl w:val="0"/>
          <w:numId w:val="3"/>
        </w:numPr>
        <w:jc w:val="start"/>
        <w:rPr>
          <w:lang w:val="en-GB"/>
        </w:rPr>
      </w:pPr>
      <w:r>
        <w:rPr>
          <w:lang w:val="en-GB"/>
        </w:rPr>
        <w:t>NW + Sesquialter 2 st.</w:t>
      </w:r>
    </w:p>
    <w:p>
      <w:pPr>
        <w:pStyle w:val="T1"/>
        <w:jc w:val="start"/>
        <w:rPr>
          <w:lang w:val="en-GB"/>
        </w:rPr>
      </w:pPr>
      <w:r>
        <w:rPr>
          <w:lang w:val="en-GB"/>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370" w:type="dxa"/>
        <w:jc w:val="start"/>
        <w:tblInd w:w="-70" w:type="dxa"/>
        <w:tblLayout w:type="fixed"/>
        <w:tblCellMar>
          <w:top w:w="0" w:type="dxa"/>
          <w:start w:w="70" w:type="dxa"/>
          <w:bottom w:w="0" w:type="dxa"/>
          <w:end w:w="70" w:type="dxa"/>
        </w:tblCellMar>
      </w:tblPr>
      <w:tblGrid>
        <w:gridCol w:w="1330"/>
        <w:gridCol w:w="720"/>
        <w:gridCol w:w="1440"/>
        <w:gridCol w:w="720"/>
        <w:gridCol w:w="1260"/>
        <w:gridCol w:w="90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Mixtuur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tc>
        <w:tc>
          <w:tcPr>
            <w:tcW w:w="1440" w:type="dxa"/>
            <w:tcBorders/>
          </w:tcPr>
          <w:p>
            <w:pPr>
              <w:pStyle w:val="T4dispositie"/>
              <w:rPr>
                <w:i/>
                <w:i/>
                <w:lang w:val="nl-NL"/>
              </w:rPr>
            </w:pPr>
            <w:r>
              <w:rPr>
                <w:i/>
                <w:lang w:val="nl-NL"/>
              </w:rPr>
              <w:t>Nevenwerk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Gedekt</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Woudfluit</w:t>
            </w:r>
          </w:p>
          <w:p>
            <w:pPr>
              <w:pStyle w:val="T4dispositie"/>
              <w:rPr>
                <w:lang w:val="nl-NL"/>
              </w:rPr>
            </w:pPr>
            <w:r>
              <w:rPr>
                <w:lang w:val="nl-NL"/>
              </w:rPr>
              <w:t>Quint</w:t>
            </w:r>
          </w:p>
          <w:p>
            <w:pPr>
              <w:pStyle w:val="T4dispositie"/>
              <w:rPr>
                <w:lang w:val="nl-NL"/>
              </w:rPr>
            </w:pPr>
            <w:r>
              <w:rPr>
                <w:lang w:val="nl-NL"/>
              </w:rPr>
              <w:t>Sesquialter</w:t>
            </w:r>
          </w:p>
          <w:p>
            <w:pPr>
              <w:pStyle w:val="T4dispositie"/>
              <w:rPr>
                <w:lang w:val="nl-NL"/>
              </w:rPr>
            </w:pPr>
            <w:r>
              <w:rPr>
                <w:lang w:val="nl-NL"/>
              </w:rPr>
              <w:t>Dulciaan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2 st.</w:t>
            </w:r>
          </w:p>
          <w:p>
            <w:pPr>
              <w:pStyle w:val="T4dispositie"/>
              <w:rPr>
                <w:lang w:val="nl-NL"/>
              </w:rPr>
            </w:pPr>
            <w:r>
              <w:rPr>
                <w:lang w:val="nl-NL"/>
              </w:rPr>
              <w:t>8'</w:t>
            </w:r>
          </w:p>
        </w:tc>
        <w:tc>
          <w:tcPr>
            <w:tcW w:w="1260" w:type="dxa"/>
            <w:tcBorders/>
          </w:tcPr>
          <w:p>
            <w:pPr>
              <w:pStyle w:val="T4dispositie"/>
              <w:rPr>
                <w:lang w:val="nl-NL"/>
              </w:rPr>
            </w:pPr>
            <w:r>
              <w:rPr>
                <w:i/>
                <w:lang w:val="nl-NL"/>
              </w:rPr>
              <w:t>Pedaal</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Prestant</w:t>
            </w:r>
          </w:p>
          <w:p>
            <w:pPr>
              <w:pStyle w:val="T4dispositie"/>
              <w:rPr>
                <w:lang w:val="nl-NL"/>
              </w:rPr>
            </w:pPr>
            <w:r>
              <w:rPr>
                <w:lang w:val="nl-NL"/>
              </w:rPr>
              <w:t>Bazuin</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lang w:val="en-GB"/>
              </w:rPr>
              <w:t>'</w:t>
            </w:r>
          </w:p>
          <w:p>
            <w:pPr>
              <w:pStyle w:val="T4dispositie"/>
              <w:rPr/>
            </w:pPr>
            <w:r>
              <w:rPr>
                <w:lang w:val="nl-NL"/>
              </w:rPr>
              <w:t>8</w:t>
            </w:r>
            <w:r>
              <w:rPr>
                <w:lang w:val="en-GB"/>
              </w:rPr>
              <w:t>'</w:t>
            </w:r>
            <w:r>
              <w:rPr>
                <w:lang w:val="nl-NL"/>
              </w:rPr>
              <w:t xml:space="preserve"> tr</w:t>
            </w:r>
          </w:p>
          <w:p>
            <w:pPr>
              <w:pStyle w:val="T4dispositie"/>
              <w:rPr>
                <w:lang w:val="nl-NL"/>
              </w:rPr>
            </w:pPr>
            <w:r>
              <w:rPr>
                <w:lang w:val="nl-NL"/>
              </w:rPr>
              <w:t>16</w:t>
            </w:r>
            <w:r>
              <w:rPr>
                <w:lang w:val="en-GB"/>
              </w:rPr>
              <w:t>'</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HW-NW, Ped-HW, Ped-NW</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szCs w:val="24"/>
          <w:lang w:val="nl-NL"/>
        </w:rPr>
        <w:t>Samenstelling vulstemmen</w:t>
      </w:r>
    </w:p>
    <w:tbl>
      <w:tblPr>
        <w:tblW w:w="4462" w:type="dxa"/>
        <w:jc w:val="start"/>
        <w:tblInd w:w="-70" w:type="dxa"/>
        <w:tblLayout w:type="fixed"/>
        <w:tblCellMar>
          <w:top w:w="0" w:type="dxa"/>
          <w:start w:w="70" w:type="dxa"/>
          <w:bottom w:w="0" w:type="dxa"/>
          <w:end w:w="70" w:type="dxa"/>
        </w:tblCellMar>
      </w:tblPr>
      <w:tblGrid>
        <w:gridCol w:w="1507"/>
        <w:gridCol w:w="736"/>
        <w:gridCol w:w="736"/>
        <w:gridCol w:w="747"/>
        <w:gridCol w:w="736"/>
      </w:tblGrid>
      <w:tr>
        <w:trPr/>
        <w:tc>
          <w:tcPr>
            <w:tcW w:w="1507"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36" w:type="dxa"/>
            <w:tcBorders/>
          </w:tcPr>
          <w:p>
            <w:pPr>
              <w:pStyle w:val="T4dispositie"/>
              <w:rPr/>
            </w:pPr>
            <w:r>
              <w:rPr/>
              <w:t>C</w:t>
            </w:r>
          </w:p>
          <w:p>
            <w:pPr>
              <w:pStyle w:val="T4dispositie"/>
              <w:rPr/>
            </w:pPr>
            <w:r>
              <w:rPr/>
              <w:t>1 1/3</w:t>
            </w:r>
          </w:p>
          <w:p>
            <w:pPr>
              <w:pStyle w:val="T4dispositie"/>
              <w:rPr/>
            </w:pPr>
            <w:r>
              <w:rPr/>
              <w:t>1</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c</w:t>
            </w:r>
            <w:r>
              <w:rPr>
                <w:vertAlign w:val="superscript"/>
              </w:rPr>
              <w:t>1</w:t>
            </w:r>
          </w:p>
          <w:p>
            <w:pPr>
              <w:pStyle w:val="T4dispositie"/>
              <w:rPr/>
            </w:pPr>
            <w:r>
              <w:rPr/>
              <w:t>2 2/3</w:t>
            </w:r>
          </w:p>
          <w:p>
            <w:pPr>
              <w:pStyle w:val="T4dispositie"/>
              <w:rPr>
                <w:lang w:val="fr-FR"/>
              </w:rPr>
            </w:pPr>
            <w:r>
              <w:rPr>
                <w:lang w:val="fr-FR"/>
              </w:rPr>
              <w:t>2</w:t>
            </w:r>
          </w:p>
          <w:p>
            <w:pPr>
              <w:pStyle w:val="T4dispositie"/>
              <w:rPr>
                <w:lang w:val="fr-FR"/>
              </w:rPr>
            </w:pPr>
            <w:r>
              <w:rPr>
                <w:lang w:val="fr-FR"/>
              </w:rPr>
              <w:t>1 1/3</w:t>
            </w:r>
          </w:p>
        </w:tc>
        <w:tc>
          <w:tcPr>
            <w:tcW w:w="736" w:type="dxa"/>
            <w:tcBorders/>
          </w:tcPr>
          <w:p>
            <w:pPr>
              <w:pStyle w:val="T4dispositie"/>
              <w:rPr/>
            </w:pPr>
            <w:r>
              <w:rPr>
                <w:lang w:val="fr-FR"/>
              </w:rPr>
              <w:t>fis</w:t>
            </w:r>
            <w:r>
              <w:rPr>
                <w:vertAlign w:val="superscript"/>
                <w:lang w:val="fr-FR"/>
              </w:rPr>
              <w:t>2</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tc>
      </w:tr>
    </w:tbl>
    <w:p>
      <w:pPr>
        <w:pStyle w:val="Normal"/>
        <w:rPr>
          <w:rFonts w:ascii="Times New Roman" w:hAnsi="Times New Roman" w:cs="Times New Roman"/>
          <w:szCs w:val="24"/>
          <w:lang w:val="fr-FR"/>
        </w:rPr>
      </w:pPr>
      <w:r>
        <w:rPr>
          <w:rFonts w:cs="Times New Roman" w:ascii="Times New Roman" w:hAnsi="Times New Roman"/>
          <w:szCs w:val="24"/>
          <w:lang w:val="fr-FR"/>
        </w:rPr>
      </w:r>
    </w:p>
    <w:tbl>
      <w:tblPr>
        <w:tblW w:w="3101" w:type="dxa"/>
        <w:jc w:val="start"/>
        <w:tblInd w:w="-70" w:type="dxa"/>
        <w:tblLayout w:type="fixed"/>
        <w:tblCellMar>
          <w:top w:w="0" w:type="dxa"/>
          <w:start w:w="70" w:type="dxa"/>
          <w:bottom w:w="0" w:type="dxa"/>
          <w:end w:w="70" w:type="dxa"/>
        </w:tblCellMar>
      </w:tblPr>
      <w:tblGrid>
        <w:gridCol w:w="1787"/>
        <w:gridCol w:w="567"/>
        <w:gridCol w:w="747"/>
      </w:tblGrid>
      <w:tr>
        <w:trPr/>
        <w:tc>
          <w:tcPr>
            <w:tcW w:w="1787" w:type="dxa"/>
            <w:tcBorders/>
          </w:tcPr>
          <w:p>
            <w:pPr>
              <w:pStyle w:val="Normal"/>
              <w:rPr>
                <w:rFonts w:ascii="Times New Roman" w:hAnsi="Times New Roman" w:cs="Times New Roman"/>
                <w:szCs w:val="24"/>
                <w:lang w:val="fr-FR"/>
              </w:rPr>
            </w:pPr>
            <w:r>
              <w:rPr>
                <w:rFonts w:cs="Times New Roman" w:ascii="Times New Roman" w:hAnsi="Times New Roman"/>
                <w:szCs w:val="24"/>
                <w:lang w:val="fr-FR"/>
              </w:rPr>
              <w:t>Sesquialter NW</w:t>
            </w:r>
          </w:p>
        </w:tc>
        <w:tc>
          <w:tcPr>
            <w:tcW w:w="567" w:type="dxa"/>
            <w:tcBorders/>
          </w:tcPr>
          <w:p>
            <w:pPr>
              <w:pStyle w:val="T4dispositie"/>
              <w:rPr/>
            </w:pPr>
            <w:r>
              <w:rPr/>
              <w:t>C</w:t>
            </w:r>
          </w:p>
          <w:p>
            <w:pPr>
              <w:pStyle w:val="T4dispositie"/>
              <w:rPr/>
            </w:pPr>
            <w:r>
              <w:rPr/>
              <w:t>2</w:t>
            </w:r>
          </w:p>
          <w:p>
            <w:pPr>
              <w:pStyle w:val="T4dispositie"/>
              <w:rPr/>
            </w:pPr>
            <w:r>
              <w:rPr/>
              <w:t>4/5</w:t>
            </w:r>
          </w:p>
        </w:tc>
        <w:tc>
          <w:tcPr>
            <w:tcW w:w="747" w:type="dxa"/>
            <w:tcBorders/>
          </w:tcPr>
          <w:p>
            <w:pPr>
              <w:pStyle w:val="T4dispositie"/>
              <w:rPr/>
            </w:pPr>
            <w:r>
              <w:rPr/>
              <w:t>c</w:t>
            </w:r>
          </w:p>
          <w:p>
            <w:pPr>
              <w:pStyle w:val="T4dispositie"/>
              <w:rPr/>
            </w:pPr>
            <w:r>
              <w:rPr/>
              <w:t>2 2/3</w:t>
            </w:r>
          </w:p>
          <w:p>
            <w:pPr>
              <w:pStyle w:val="T4dispositie"/>
              <w:rPr/>
            </w:pPr>
            <w:r>
              <w:rPr/>
              <w:t>1 3/5</w:t>
            </w:r>
          </w:p>
        </w:tc>
      </w:tr>
    </w:tbl>
    <w:p>
      <w:pPr>
        <w:pStyle w:val="Normal"/>
        <w:rPr>
          <w:rFonts w:ascii="Times New Roman" w:hAnsi="Times New Roman" w:cs="Times New Roman"/>
          <w:szCs w:val="24"/>
          <w:lang w:val="fr-FR"/>
        </w:rPr>
      </w:pPr>
      <w:r>
        <w:rPr>
          <w:rFonts w:cs="Times New Roman" w:ascii="Times New Roman" w:hAnsi="Times New Roman"/>
          <w:szCs w:val="24"/>
          <w:lang w:val="fr-FR"/>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429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regulateur</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achterzijde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registerknoppen bevinden zich aan weerszijden van de klaviatuur, aan elke zijde twee rijen. De registernamen zijn in goudkleur op de voorzijde van de registerknoppen aangebracht.</w:t>
      </w:r>
    </w:p>
    <w:p>
      <w:pPr>
        <w:pStyle w:val="T1"/>
        <w:jc w:val="start"/>
        <w:rPr>
          <w:lang w:val="nl-NL"/>
        </w:rPr>
      </w:pPr>
      <w:r>
        <w:rPr>
          <w:lang w:val="nl-NL"/>
        </w:rPr>
        <w:t>De lade van HW en NW zijn niet gedeeld. De in 2005 toegevoegde Sesquialter staat op een bank tussen de hoofdlade en de achterwand van de kas. De grootste grenen pijpen van de Subbas 16' staan achter het front.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Times New Roman" w:hAnsi="Times New Roman" w:eastAsia="Times New Roman" w:cs="Times New Roman"/>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cs="Times New Roman"/>
      <w:b w:val="false"/>
      <w:i w:val="false"/>
      <w:sz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Times New Roman" w:hAnsi="Times New Roman" w:eastAsia="Times New Roman" w:cs="Times New Roman"/>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2008-03-07T15:48:00Z</dcterms:created>
  <dc:creator>WS1</dc:creator>
  <dc:description/>
  <dc:language>en-US</dc:language>
  <cp:lastModifiedBy>NIvO</cp:lastModifiedBy>
  <dcterms:modified xsi:type="dcterms:W3CDTF">2009-09-28T15:11:00Z</dcterms:modified>
  <cp:revision>13</cp:revision>
  <dc:subject/>
  <dc:title>Olst / 1880</dc:title>
</cp:coreProperties>
</file>