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Groede / 1903</w:t>
      </w:r>
    </w:p>
    <w:p>
      <w:pPr>
        <w:pStyle w:val="Heading2"/>
        <w:ind w:start="0" w:end="0" w:hanging="0"/>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Driebeukige hallenkerk met een driezijdig gesloten koor, een noordkoor en een toren met achtzijdige bovenbouw en naaldspits. De oudste delen van de kerk gaan terug tot de 13e eeuw; de toren met haakse steunberen dateert uit de 14e eeuw. Het schip en de noordbeuk kwamen in de tweede helft van de 15e eeuw tot stand; de zuidbeuk omstreeks 1500. Na schade tijdens de inundatieperiode (1583-1613) werd het koor in 1619 hersteld. Bij de restauratie van de rest van de kerk in 1623-24 werd de noordbeuk bijna geheel vernieuwd en de toren verhoogd. Herstellingen vonden verder plaats in 1752 en 1836. De zuidbeuk diende van 1618 tot 1808 als Waalse Kerk en werd rond 1685 van de rest van de kerk gescheiden. Bij een ingrijpende verbouwing in 1868 werd de kerk uitwendig geheel gepleisterd en kregen de vensters nieuwe traceringen. Na een blikseminslag werd de toren in 1950 gerestaureerd en ontpleisterd waarbij de torenspits naar model van 1836 werd hersteld.</w:t>
      </w:r>
    </w:p>
    <w:p>
      <w:pPr>
        <w:pStyle w:val="T1"/>
        <w:jc w:val="start"/>
        <w:rPr>
          <w:i/>
          <w:i/>
          <w:iCs/>
          <w:lang w:val="nl-NL"/>
        </w:rPr>
      </w:pPr>
      <w:r>
        <w:rPr>
          <w:i/>
          <w:iCs/>
          <w:lang w:val="nl-NL"/>
        </w:rPr>
        <w:t>Het interieur wordt overdekt door een vlak stucplafond uit 1868. Een belangrijk onderdeel van het interieur is de preekstoel met de omringende dooptuin. Het geheel is in 1794 door afstammelingen van Jacob Cats ten geschenke gegeven.</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Bij het front van Groede schaart J.F. Kruse zich andermaal in het kamp van de navolgers van de orgelmakers Van Dam. </w:t>
      </w:r>
      <w:r>
        <w:rPr/>
        <w:t xml:space="preserve">Binnen het interessante facet van de fronten-verwantschap in de geschiedenis van het Friese orgel kan de toepassing van het fronttype van Groede het meest opzienbarende hoofdstuk genoemd worden. </w:t>
      </w:r>
      <w:r>
        <w:rPr>
          <w:lang w:val="nl-NL"/>
        </w:rPr>
        <w:t>Het ontwerp ontstond rond 1865 in het werk van de orgelmakers Van Dam, kreeg in het werk van Willem Hardorff onmiddellijk daarna navolging, zij het met geringe modificaties, welke navolgingen vervolgens weer opduiken in het werk van Bakker &amp; Timmenga. J.F. Kruse, Hardorffs schoonzoon, past het ontwerp in de jaren 1990 enkele malen toe, en doet dat in Groede dan nog eens. Vermoed mag worden dat de geprojecteerde dispositie, met daarin een Bourdon 16' voet, mede aanleiding was voor de keuze voor een groter front en een ruimere kas, in afwijking van het bij Kruse bekende vijfledige, smallere front.</w:t>
      </w:r>
    </w:p>
    <w:p>
      <w:pPr>
        <w:pStyle w:val="T2Kunst"/>
        <w:jc w:val="start"/>
        <w:rPr/>
      </w:pPr>
      <w:r>
        <w:rPr/>
        <w:t xml:space="preserve">Bijna 40 jaar na het verschijnen van het prototype van het onderhavige ontwerp is er wel het een en ander veranderd. Door de plaatsing van zeven pijpen in de torens heeft de elegantie van het oorspronkelijk ontwerp plaats gemaakt voor een grotere breedtewerking. </w:t>
      </w:r>
      <w:r>
        <w:rPr>
          <w:lang w:val="nl-NL"/>
        </w:rPr>
        <w:t>Evenals dat bij Hardorff en Bakker &amp; Timmenga het geval is zijn hier ook weer de voeten van de frontpijpen in de grote ongedeelde velden langer genomen dan bij het oorsponkelijk ontwerp het geval was.</w:t>
      </w:r>
    </w:p>
    <w:p>
      <w:pPr>
        <w:pStyle w:val="T2Kunst"/>
        <w:jc w:val="start"/>
        <w:rPr/>
      </w:pPr>
      <w:r>
        <w:rPr/>
        <w:t xml:space="preserve">De ornamentiek is, zoals steeds bij Kruse, smaakvol en eenvoudig. De </w:t>
      </w:r>
      <w:r>
        <w:rPr>
          <w:i/>
          <w:iCs/>
        </w:rPr>
        <w:t>culs-de-lampe</w:t>
      </w:r>
      <w:r>
        <w:rPr/>
        <w:t xml:space="preserve"> onder de drie torens bestaan uit gekruld acanthusblad, onderaan eindigend in een vruchtmotief. Onder de cul-de-lampe van de middentoren is het bouwjaar van het orgel op het paneelwerk aangebracht.</w:t>
      </w:r>
    </w:p>
    <w:p>
      <w:pPr>
        <w:pStyle w:val="T2Kunst"/>
        <w:jc w:val="start"/>
        <w:rPr/>
      </w:pPr>
      <w:r>
        <w:rPr/>
        <w:t>In de blinderingen zijn in hoofdzaak bladranken te herkennen.</w:t>
      </w:r>
    </w:p>
    <w:p>
      <w:pPr>
        <w:pStyle w:val="T2Kunst"/>
        <w:jc w:val="start"/>
        <w:rPr/>
      </w:pPr>
      <w:r>
        <w:rPr/>
        <w:t>De vleugelstukken, die fors en volumineus van uitvoering zijn, bevatten onderaan een hoorn des overvloeds, een veelvuldig bij Kruse voorkomend element.</w:t>
      </w:r>
    </w:p>
    <w:p>
      <w:pPr>
        <w:pStyle w:val="T2Kunst"/>
        <w:jc w:val="start"/>
        <w:rPr>
          <w:lang w:val="nl-NL"/>
        </w:rPr>
      </w:pPr>
      <w:r>
        <w:rPr>
          <w:lang w:val="nl-NL"/>
        </w:rPr>
        <w:t>De kappen zijn voorzien van opengewerkte, gesneden opzetstukken. De ornamenten op de zijtorens bezitten een ovaal schild in het centrum. Het ornament op de middenkap wordt bekroond door een lier.</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 H. Kluiver, ‘Historische orgels in Zeeland. 3, Schouwen en Duiveland, Tholen, Zeeuwsch-Vlaanderen. </w:t>
      </w:r>
      <w:r>
        <w:rPr>
          <w:i/>
          <w:lang w:val="nl-NL"/>
        </w:rPr>
        <w:t>Archief uitgegeven door het Koninklijk Zeeuwsch Genootschap der Wetenschappen</w:t>
      </w:r>
      <w:r>
        <w:rPr>
          <w:lang w:val="nl-NL"/>
        </w:rPr>
        <w:t xml:space="preserve"> (1976), 144.</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Dirk Bakker, </w:t>
      </w:r>
      <w:r>
        <w:rPr>
          <w:i/>
          <w:iCs/>
          <w:lang w:val="nl-NL"/>
        </w:rPr>
        <w:t>Rapport betreffende het orgel in de Hervormde Kerk te Groede.</w:t>
      </w:r>
      <w:r>
        <w:rPr>
          <w:lang w:val="nl-NL"/>
        </w:rPr>
        <w:t xml:space="preserve"> Piershil, 2009.</w:t>
      </w:r>
    </w:p>
    <w:p>
      <w:pPr>
        <w:pStyle w:val="T3Lit"/>
        <w:jc w:val="start"/>
        <w:rPr>
          <w:lang w:val="nl-NL"/>
        </w:rPr>
      </w:pPr>
      <w:r>
        <w:rPr>
          <w:lang w:val="nl-NL"/>
        </w:rPr>
      </w:r>
    </w:p>
    <w:p>
      <w:pPr>
        <w:pStyle w:val="T3Lit"/>
        <w:rPr>
          <w:lang w:val="nl-NL"/>
        </w:rPr>
      </w:pPr>
      <w:r>
        <w:rPr>
          <w:lang w:val="nl-NL"/>
        </w:rPr>
        <w:t>Monumentnummer 31516</w:t>
      </w:r>
    </w:p>
    <w:p>
      <w:pPr>
        <w:pStyle w:val="T3Lit"/>
        <w:rPr>
          <w:lang w:val="nl-NL"/>
        </w:rPr>
      </w:pPr>
      <w:r>
        <w:rPr>
          <w:lang w:val="nl-NL"/>
        </w:rPr>
        <w:t>Orgelnummer 548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Kruse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J.C. Sanders &amp; Zn 1951</w:t>
      </w:r>
    </w:p>
    <w:p>
      <w:pPr>
        <w:pStyle w:val="T1"/>
        <w:jc w:val="start"/>
        <w:rPr>
          <w:lang w:val="nl-NL"/>
        </w:rPr>
      </w:pPr>
      <w:r>
        <w:rPr>
          <w:lang w:val="nl-NL"/>
        </w:rPr>
        <w:t>.</w:t>
        <w:tab/>
        <w:t>orgel hersteld; mogelijk bij die gelegenheid windvoorziening gewijzigd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pijpwerk beschadigd</w:t>
      </w:r>
    </w:p>
    <w:p>
      <w:pPr>
        <w:pStyle w:val="T1"/>
        <w:jc w:val="start"/>
        <w:rPr>
          <w:lang w:val="nl-NL"/>
        </w:rPr>
      </w:pPr>
      <w:r>
        <w:rPr>
          <w:lang w:val="nl-NL"/>
        </w:rPr>
      </w:r>
    </w:p>
    <w:p>
      <w:pPr>
        <w:pStyle w:val="T1"/>
        <w:jc w:val="start"/>
        <w:rPr>
          <w:lang w:val="nl-NL"/>
        </w:rPr>
      </w:pPr>
      <w:r>
        <w:rPr>
          <w:lang w:val="nl-NL"/>
        </w:rPr>
        <w:t>Orgelmakerij Reil 2009</w:t>
      </w:r>
    </w:p>
    <w:p>
      <w:pPr>
        <w:pStyle w:val="T1"/>
        <w:jc w:val="start"/>
        <w:rPr>
          <w:lang w:val="nl-NL"/>
        </w:rPr>
      </w:pPr>
      <w:r>
        <w:rPr>
          <w:lang w:val="nl-NL"/>
        </w:rPr>
        <w:t>.</w:t>
        <w:tab/>
        <w:t>orgel gedemonteerd in verband met kerkrestauratie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fr-FR"/>
              </w:rPr>
            </w:pPr>
            <w:r>
              <w:rPr>
                <w:lang w:val="fr-FR"/>
              </w:rPr>
              <w:t>Petit Bourdon</w:t>
            </w:r>
          </w:p>
          <w:p>
            <w:pPr>
              <w:pStyle w:val="T4dispositie"/>
              <w:rPr>
                <w:lang w:val="fr-FR"/>
              </w:rPr>
            </w:pPr>
            <w:r>
              <w:rPr>
                <w:lang w:val="fr-FR"/>
              </w:rPr>
              <w:t>Viool di Gambe</w:t>
            </w:r>
          </w:p>
          <w:p>
            <w:pPr>
              <w:pStyle w:val="T4dispositie"/>
              <w:rPr>
                <w:lang w:val="nl-NL"/>
              </w:rPr>
            </w:pPr>
            <w:r>
              <w:rPr>
                <w:lang w:val="nl-NL"/>
              </w:rPr>
              <w:t>Octaaf</w:t>
            </w:r>
          </w:p>
          <w:p>
            <w:pPr>
              <w:pStyle w:val="T4dispositie"/>
              <w:rPr>
                <w:lang w:val="nl-NL"/>
              </w:rPr>
            </w:pPr>
            <w:r>
              <w:rPr>
                <w:lang w:val="nl-NL"/>
              </w:rPr>
              <w:t>Fluit d’amour</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 B/D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lang w:val="en-GB"/>
              </w:rPr>
              <w:t>'</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r>
              <w:rPr>
                <w:lang w:val="en-GB"/>
              </w:rPr>
              <w:t>'</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r>
              <w:rPr>
                <w:lang w:val="en-GB"/>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enkele vouw</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frontpijpen zijn van metaal met een hoog tingehalte. Sprekend zijn de pijpen in de drie torens en de brede ongedeelde tussenvelden.</w:t>
      </w:r>
    </w:p>
    <w:p>
      <w:pPr>
        <w:pStyle w:val="T1"/>
        <w:jc w:val="start"/>
        <w:rPr>
          <w:lang w:val="nl-NL"/>
        </w:rPr>
      </w:pPr>
      <w:r>
        <w:rPr>
          <w:lang w:val="nl-NL"/>
        </w:rPr>
        <w:t>Het handklavier is een balansklavier; de ondertoetsen zijn belegd met celluloid. De registerknoppen, de lijsten en de gebogen bakstukken zijn van zwart geverfd vruchthout. De registerknoppen zijn in een horizontale rij boven de lessenaar geplaatst. Ze zijn voorzien van witte porseleinen naamplaatjes. De windlosser wordt bediend door een klein messing knopje op een ronde trekarm, aangebracht links van het klavier, zonder registeropschrift. Het eikenhouten pedaalklavier heeft korte boventoetsen van gelijke lengte.</w:t>
      </w:r>
    </w:p>
    <w:p>
      <w:pPr>
        <w:pStyle w:val="T1"/>
        <w:jc w:val="start"/>
        <w:rPr/>
      </w:pPr>
      <w:r>
        <w:rPr>
          <w:lang w:val="nl-NL"/>
        </w:rPr>
        <w:t>De windlade is van eiken. De ventielkast heeft drie opliggende voorslagen, vastgezet met kleine messing proken. De cancelvolgorde is: gis e c Gis B d fis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f cis A G H dis g. (g aan klavierzijde). Onder de lade bevindt zich een eiken walsraam.</w:t>
      </w:r>
    </w:p>
    <w:p>
      <w:pPr>
        <w:pStyle w:val="T1"/>
        <w:jc w:val="start"/>
        <w:rPr/>
      </w:pPr>
      <w:r>
        <w:rPr>
          <w:lang w:val="nl-NL"/>
        </w:rPr>
        <w:t>Van de Prestant 8 staan C-c</w:t>
      </w:r>
      <w:r>
        <w:rPr>
          <w:vertAlign w:val="superscript"/>
          <w:lang w:val="nl-NL"/>
        </w:rPr>
        <w:t>2</w:t>
      </w:r>
      <w:r>
        <w:rPr>
          <w:lang w:val="nl-NL"/>
        </w:rPr>
        <w:t xml:space="preserve"> in het front, het vervolg staat op de lade. C-h van de Bourdon 16' zijn van grenen, de discant is van metaal. De Petit Bourdon 8' heeft houten pijpen voor C-H, het vervolg is van metaal. Net als bij de Bourdon 16' is het pijpwerk boogvormig opgesneden. De Viool di Gambe is van C-H gecombineerd met de Petit Bourdon. De Fluit d’amour 4' is van C-f</w:t>
      </w:r>
      <w:r>
        <w:rPr>
          <w:vertAlign w:val="superscript"/>
          <w:lang w:val="nl-NL"/>
        </w:rPr>
        <w:t>2</w:t>
      </w:r>
      <w:r>
        <w:rPr>
          <w:lang w:val="nl-NL"/>
        </w:rPr>
        <w:t xml:space="preserve"> gedekt en verder open, conisch. Ook dit register is boogvormig opgesneden.</w:t>
      </w:r>
    </w:p>
    <w:p>
      <w:pPr>
        <w:pStyle w:val="T1"/>
        <w:jc w:val="start"/>
        <w:rPr/>
      </w:pPr>
      <w:r>
        <w:rPr>
          <w:lang w:val="nl-NL"/>
        </w:rPr>
        <w:t>De Trompet heeft metalen stevels. De koppen zijn van lood, licht overkragend. De bekers zijn van metaal, in de bas voorzien van vrij hoge schachten, C-e</w:t>
      </w:r>
      <w:r>
        <w:rPr>
          <w:vertAlign w:val="superscript"/>
          <w:lang w:val="nl-NL"/>
        </w:rPr>
        <w:t>1</w:t>
      </w:r>
      <w:r>
        <w:rPr>
          <w:lang w:val="nl-NL"/>
        </w:rPr>
        <w:t xml:space="preserve"> met expressions. Het register heeft Franse kelen en ijzeren stemkrukken.</w:t>
      </w:r>
    </w:p>
    <w:p>
      <w:pPr>
        <w:pStyle w:val="T1"/>
        <w:jc w:val="start"/>
        <w:rPr/>
      </w:pPr>
      <w:r>
        <w:rPr>
          <w:lang w:val="nl-NL"/>
        </w:rPr>
        <w:t>Het labiale binnenpijpwerk is toegeleverd materiaal met geperste labia. Op enkele uitzonderingen na zijn de toon- en registernamen handmatig aangebracht. Expressions zijn toegepast bij alle pijpen van de Prestant 8' en de Viool di Gambe, bij de Octaaf 4' (C-c</w:t>
      </w:r>
      <w:r>
        <w:rPr>
          <w:vertAlign w:val="superscript"/>
          <w:lang w:val="nl-NL"/>
        </w:rPr>
        <w:t>2</w:t>
      </w:r>
      <w:r>
        <w:rPr>
          <w:lang w:val="nl-NL"/>
        </w:rPr>
        <w:t>), bij de Quint (C-f</w:t>
      </w:r>
      <w:r>
        <w:rPr>
          <w:vertAlign w:val="superscript"/>
          <w:lang w:val="nl-NL"/>
        </w:rPr>
        <w:t>1</w:t>
      </w:r>
      <w:r>
        <w:rPr>
          <w:lang w:val="nl-NL"/>
        </w:rPr>
        <w:t>) en bij de Octaaf 2' (C-c</w:t>
      </w:r>
      <w:r>
        <w:rPr>
          <w:vertAlign w:val="superscript"/>
          <w:lang w:val="nl-NL"/>
        </w:rPr>
        <w:t>1</w:t>
      </w:r>
      <w:r>
        <w:rPr>
          <w:lang w:val="nl-NL"/>
        </w:rPr>
        <w:t>).</w:t>
      </w:r>
    </w:p>
    <w:p>
      <w:pPr>
        <w:pStyle w:val="T1"/>
        <w:jc w:val="start"/>
        <w:rPr>
          <w:lang w:val="nl-NL"/>
        </w:rPr>
      </w:pPr>
      <w:r>
        <w:rPr>
          <w:lang w:val="nl-NL"/>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2007-10-18T09:32:00Z</dcterms:created>
  <dc:creator>WS1</dc:creator>
  <dc:description/>
  <dc:language>en-US</dc:language>
  <cp:lastModifiedBy>NIvO</cp:lastModifiedBy>
  <dcterms:modified xsi:type="dcterms:W3CDTF">2009-10-06T13:21:00Z</dcterms:modified>
  <cp:revision>17</cp:revision>
  <dc:subject/>
  <dc:title>Niekerk (Hunsingo) / 1883</dc:title>
</cp:coreProperties>
</file>