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Hantumhuizen (Hantumhuzen) / 1907</w:t>
      </w:r>
    </w:p>
    <w:p>
      <w:pPr>
        <w:pStyle w:val="Heading2"/>
        <w:ind w:start="0" w:end="0" w:hanging="0"/>
        <w:rPr>
          <w:i w:val="false"/>
          <w:i w:val="false"/>
          <w:iCs/>
        </w:rPr>
      </w:pPr>
      <w:r>
        <w:rPr>
          <w:i w:val="false"/>
          <w:iCs/>
        </w:rPr>
        <w:t>Sint-Annakerk</w:t>
      </w:r>
    </w:p>
    <w:p>
      <w:pPr>
        <w:pStyle w:val="T1"/>
        <w:jc w:val="start"/>
        <w:rPr>
          <w:i/>
          <w:i/>
          <w:iCs/>
          <w:lang w:val="nl-NL"/>
        </w:rPr>
      </w:pPr>
      <w:r>
        <w:rPr>
          <w:i/>
          <w:iCs/>
          <w:lang w:val="nl-NL"/>
        </w:rPr>
      </w:r>
    </w:p>
    <w:p>
      <w:pPr>
        <w:pStyle w:val="T1"/>
        <w:jc w:val="start"/>
        <w:rPr>
          <w:i/>
          <w:i/>
          <w:iCs/>
          <w:lang w:val="nl-NL"/>
        </w:rPr>
      </w:pPr>
      <w:r>
        <w:rPr>
          <w:i/>
          <w:iCs/>
          <w:lang w:val="nl-NL"/>
        </w:rPr>
        <w:t>Belangwekkende eenbeukige kerk met vijfzijdig gesloten koor en deels ingebouwde ongelede zadeldaktoren. De toren werd gebouwd ca 1200. Het schip dateert uit de eerste helft van de 13e eeuw en is uitgevoerd in romano-gotische stijl. Omstreeks 1335 werd het schip voorzien van drie ribloze koepelgewelven. Het koor en de totale overkapping dateren uit de 18e eeuw.</w:t>
      </w:r>
    </w:p>
    <w:p>
      <w:pPr>
        <w:pStyle w:val="T1"/>
        <w:jc w:val="start"/>
        <w:rPr>
          <w:i/>
          <w:i/>
          <w:iCs/>
          <w:lang w:val="nl-NL"/>
        </w:rPr>
      </w:pPr>
      <w:r>
        <w:rPr>
          <w:i/>
          <w:iCs/>
          <w:lang w:val="nl-NL"/>
        </w:rPr>
        <w:t>Restauratie in 1942 waarbij het koor in romano-gotische vorm is aangepast aan de architectuur van het schip. Geschilderde ornamenten op scheibogen en gewelven uit de 14e of 15e eeuw. Kansel uit 1773.</w:t>
      </w:r>
    </w:p>
    <w:p>
      <w:pPr>
        <w:pStyle w:val="List"/>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before="0" w:after="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1907</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Karakteristiek Bakker &amp; Timmenga-front, teruggaand op het ontwerp van het orgel van Wouterswoude van 1894. Drie ronde torens met elk zeven pijpen, vlakke gedeelde tussenvelden met elk zes pijpen. De velden zijn gescheiden door middel van een brede lijst met een licht gebogen vorm aan de onderzijde. Het labiumverloop in de velden is parallel.</w:t>
      </w:r>
    </w:p>
    <w:p>
      <w:pPr>
        <w:pStyle w:val="T2Kunst"/>
        <w:jc w:val="start"/>
        <w:rPr/>
      </w:pPr>
      <w:r>
        <w:rPr>
          <w:lang w:val="nl-NL"/>
        </w:rPr>
        <w:t xml:space="preserve">De </w:t>
      </w:r>
      <w:r>
        <w:rPr>
          <w:i/>
          <w:iCs/>
          <w:lang w:val="nl-NL"/>
        </w:rPr>
        <w:t>culs-de-lampe</w:t>
      </w:r>
      <w:r>
        <w:rPr>
          <w:lang w:val="nl-NL"/>
        </w:rPr>
        <w:t xml:space="preserve"> bestaan uit omgekruld acanthusblad. De blinderingen zijn samengesteld uit voluutvormen, met blad- en bloemmotieven. In het midden van de torenblinderingen telkens een lelieachtig strikje met een rond knopje in het midden. Dit vertikaal ogend onderdeel valt deels over het lijstwerk heen. Opzetstukken met dezelfde thematiek, bij de zijtorens bekroond met een palmetachtig figuur, bij de middentoren eindigend in een lier, geplaatst op een kleine piëdestal.</w:t>
      </w:r>
    </w:p>
    <w:p>
      <w:pPr>
        <w:pStyle w:val="T2Kunst"/>
        <w:jc w:val="start"/>
        <w:rPr>
          <w:lang w:val="nl-NL"/>
        </w:rPr>
      </w:pPr>
      <w:r>
        <w:rPr>
          <w:lang w:val="nl-NL"/>
        </w:rPr>
        <w:t>De vleugelstukken hebben een stramien van S- en C-voluten, waarbinnen een wijnrank met druiventros en een vogeltje.</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189.</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jc w:val="start"/>
        <w:rPr>
          <w:lang w:val="nl-NL"/>
        </w:rPr>
      </w:pPr>
      <w:r>
        <w:rPr>
          <w:lang w:val="nl-NL"/>
        </w:rPr>
        <w:t>Monumentnummer 38700</w:t>
      </w:r>
    </w:p>
    <w:p>
      <w:pPr>
        <w:pStyle w:val="T3Lit"/>
        <w:jc w:val="start"/>
        <w:rPr>
          <w:lang w:val="nl-NL"/>
        </w:rPr>
      </w:pPr>
      <w:r>
        <w:rPr>
          <w:lang w:val="nl-NL"/>
        </w:rPr>
        <w:t>Orgelnummer 596</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lang w:val="nl-NL"/>
        </w:rPr>
      </w:pPr>
      <w:r>
        <w:rPr>
          <w:lang w:val="nl-NL"/>
        </w:rPr>
        <w:t>Firma Vaas en Bron 1942</w:t>
      </w:r>
    </w:p>
    <w:p>
      <w:pPr>
        <w:pStyle w:val="T1"/>
        <w:numPr>
          <w:ilvl w:val="0"/>
          <w:numId w:val="2"/>
        </w:numPr>
        <w:jc w:val="start"/>
        <w:rPr>
          <w:lang w:val="nl-NL"/>
        </w:rPr>
      </w:pPr>
      <w:r>
        <w:rPr>
          <w:lang w:val="nl-NL"/>
        </w:rPr>
        <w:t>orgel op orgelgalerij naar achteren verplaatst en hersteld</w:t>
      </w:r>
    </w:p>
    <w:p>
      <w:pPr>
        <w:pStyle w:val="T1"/>
        <w:numPr>
          <w:ilvl w:val="0"/>
          <w:numId w:val="2"/>
        </w:numPr>
        <w:jc w:val="start"/>
        <w:rPr>
          <w:lang w:val="nl-NL"/>
        </w:rPr>
      </w:pPr>
      <w:r>
        <w:rPr>
          <w:lang w:val="nl-NL"/>
        </w:rPr>
        <w:t>nieuw pedaalklavier met pedaalwalsbord</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orgel in eigen (kerkelijk) beheer op de oorspronkelijke plaats in de balustrade gezet</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(1907)</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frontpijpen zijn van metaal met een hoog tingehalte en hebben rond opgeworpen labia.</w:t>
      </w:r>
    </w:p>
    <w:p>
      <w:pPr>
        <w:pStyle w:val="T1"/>
        <w:jc w:val="start"/>
        <w:rPr>
          <w:lang w:val="nl-NL"/>
        </w:rPr>
      </w:pPr>
      <w:r>
        <w:rPr>
          <w:lang w:val="nl-NL"/>
        </w:rPr>
        <w:t>Het windtoestel bevindt zich onder in de kas.</w:t>
      </w:r>
    </w:p>
    <w:p>
      <w:pPr>
        <w:pStyle w:val="T1"/>
        <w:jc w:val="start"/>
        <w:rPr>
          <w:lang w:val="nl-NL"/>
        </w:rPr>
      </w:pPr>
      <w:r>
        <w:rPr>
          <w:lang w:val="nl-NL"/>
        </w:rPr>
        <w:t>Het handklavier is een eiken staartklavier met celluloidbeleg op de ondertoetsen. De registerknoppen bevinden zich boven de lessenaar; alleen de tremulant is links van het handklavier geplaatst. Alle knoppen zijn voorzien van witte porseleinen naamplaatjes.</w:t>
      </w:r>
    </w:p>
    <w:p>
      <w:pPr>
        <w:pStyle w:val="T1"/>
        <w:jc w:val="start"/>
        <w:rPr>
          <w:lang w:val="nl-NL"/>
        </w:rPr>
      </w:pPr>
      <w:r>
        <w:rPr>
          <w:lang w:val="nl-NL"/>
        </w:rPr>
        <w:t>Het pedaalklavier heeft zwart geschilderde boventoetsen van af- en oplopende lengte.</w:t>
      </w:r>
    </w:p>
    <w:p>
      <w:pPr>
        <w:pStyle w:val="T1"/>
        <w:jc w:val="start"/>
        <w:rPr>
          <w:lang w:val="nl-NL"/>
        </w:rPr>
      </w:pPr>
      <w:r>
        <w:rPr>
          <w:lang w:val="nl-NL"/>
        </w:rPr>
        <w:t>De windlade is van eiken, de stokken zijn van mahonie. De ventielkast heeft vastgeschroefde opliggende voorslagen, mogelijk uit 1942. De cancelvolgorde (f aan klaviatuurzijde) is:</w:t>
      </w:r>
    </w:p>
    <w:p>
      <w:pPr>
        <w:pStyle w:val="T1"/>
        <w:jc w:val="start"/>
        <w:rPr/>
      </w:pPr>
      <w:r>
        <w:rPr>
          <w:lang w:val="nl-NL"/>
        </w:rPr>
        <w:t>gis d B Gis c d e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g dis H G A cis f.</w:t>
      </w:r>
    </w:p>
    <w:p>
      <w:pPr>
        <w:pStyle w:val="T1"/>
        <w:jc w:val="start"/>
        <w:rPr/>
      </w:pPr>
      <w:r>
        <w:rPr>
          <w:lang w:val="nl-NL"/>
        </w:rPr>
        <w:t>De Holpijp 8' heeft pijpen van oregonpine voor C-H. De Viola di Gamba 8' is in het groot octaaf gecombineerd met de Holpijp. De Fluit 4' is van C-f</w:t>
      </w:r>
      <w:r>
        <w:rPr>
          <w:vertAlign w:val="superscript"/>
          <w:lang w:val="nl-NL"/>
        </w:rPr>
        <w:t>2</w:t>
      </w:r>
      <w:r>
        <w:rPr>
          <w:lang w:val="nl-NL"/>
        </w:rPr>
        <w:t xml:space="preserve"> gedekt en verder open, conisch. Bij de Cornet zijn c</w:t>
      </w:r>
      <w:r>
        <w:rPr>
          <w:vertAlign w:val="superscript"/>
          <w:lang w:val="nl-NL"/>
        </w:rPr>
        <w:t>1</w:t>
      </w:r>
      <w:r>
        <w:rPr>
          <w:lang w:val="nl-NL"/>
        </w:rPr>
        <w:t>-h</w:t>
      </w:r>
      <w:r>
        <w:rPr>
          <w:vertAlign w:val="superscript"/>
          <w:lang w:val="nl-NL"/>
        </w:rPr>
        <w:t>1</w:t>
      </w:r>
      <w:r>
        <w:rPr>
          <w:lang w:val="nl-NL"/>
        </w:rPr>
        <w:t xml:space="preserve"> van het vier-voets koor gedekt.</w:t>
      </w:r>
    </w:p>
    <w:p>
      <w:pPr>
        <w:pStyle w:val="T1"/>
        <w:jc w:val="start"/>
        <w:rPr/>
      </w:pPr>
      <w:r>
        <w:rPr>
          <w:lang w:val="nl-NL"/>
        </w:rPr>
        <w:t>Al het metalen binnenpijpwerk is toegeleverd materiaal, voorzien van geperste labia. Expressions zijn toegepast bij alle pijpen van Prestant en Viola di Gamba, bij de Octaaf 4' (C-h</w:t>
      </w:r>
      <w:r>
        <w:rPr>
          <w:vertAlign w:val="superscript"/>
          <w:lang w:val="nl-NL"/>
        </w:rPr>
        <w:t>1</w:t>
      </w:r>
      <w:r>
        <w:rPr>
          <w:lang w:val="nl-NL"/>
        </w:rPr>
        <w:t>), bij de Octaaf 2' (C-h), bij de Cornet 4' c</w:t>
      </w:r>
      <w:r>
        <w:rPr>
          <w:vertAlign w:val="superscript"/>
          <w:lang w:val="nl-NL"/>
        </w:rPr>
        <w:t>2</w:t>
      </w:r>
      <w:r>
        <w:rPr>
          <w:lang w:val="nl-NL"/>
        </w:rPr>
        <w:t>-g</w:t>
      </w:r>
      <w:r>
        <w:rPr>
          <w:vertAlign w:val="superscript"/>
          <w:lang w:val="nl-NL"/>
        </w:rPr>
        <w:t>2</w:t>
      </w:r>
      <w:r>
        <w:rPr>
          <w:lang w:val="nl-NL"/>
        </w:rPr>
        <w:t>, de Cornet 2 2/3' c</w:t>
      </w:r>
      <w:r>
        <w:rPr>
          <w:vertAlign w:val="superscript"/>
          <w:lang w:val="nl-NL"/>
        </w:rPr>
        <w:t>1</w:t>
      </w:r>
      <w:r>
        <w:rPr>
          <w:lang w:val="nl-NL"/>
        </w:rPr>
        <w:t>-a</w:t>
      </w:r>
      <w:r>
        <w:rPr>
          <w:vertAlign w:val="superscript"/>
          <w:lang w:val="nl-NL"/>
        </w:rPr>
        <w:t>1</w:t>
      </w:r>
      <w:r>
        <w:rPr>
          <w:lang w:val="nl-NL"/>
        </w:rPr>
        <w:t>, bij de Cornet 1 3/5' c</w:t>
      </w:r>
      <w:r>
        <w:rPr>
          <w:vertAlign w:val="superscript"/>
          <w:lang w:val="nl-NL"/>
        </w:rPr>
        <w:t>1</w:t>
      </w:r>
      <w:r>
        <w:rPr>
          <w:lang w:val="nl-NL"/>
        </w:rPr>
        <w:t>-d</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2008-02-27T14:09:00Z</dcterms:created>
  <dc:creator>WS1</dc:creator>
  <dc:description/>
  <dc:language>en-US</dc:language>
  <cp:lastModifiedBy>NIvO</cp:lastModifiedBy>
  <dcterms:modified xsi:type="dcterms:W3CDTF">2009-09-28T15:49:00Z</dcterms:modified>
  <cp:revision>11</cp:revision>
  <dc:subject/>
  <dc:title>Niekerk (Hunsingo) / 1883</dc:title>
</cp:coreProperties>
</file>