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Harmelen / 1902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In aanleg een laatgotische bakstenen kruiskerk met gedeeltelijk ingebouwde westtoren. De kerk brandde in 1900 na een blikseminslag uit maar de torenromp en het opgaande muurwerk bleven behouden. Het gebouw is in 1901 grotendeels in oude trant hersteld door E.G en J.C. Wentinck, onder advies van P.J.H. Cuypers. Het interieur wordt overdekt door houten tongewelven.</w:t>
      </w:r>
    </w:p>
    <w:p>
      <w:pPr>
        <w:pStyle w:val="T1"/>
        <w:jc w:val="start"/>
        <w:rPr>
          <w:i/>
          <w:i/>
          <w:iCs/>
          <w:lang w:val="nl-NL"/>
        </w:rPr>
      </w:pPr>
      <w:r>
        <w:rPr>
          <w:i/>
          <w:iCs/>
          <w:lang w:val="nl-NL"/>
        </w:rPr>
      </w:r>
    </w:p>
    <w:p>
      <w:pPr>
        <w:pStyle w:val="T1"/>
        <w:jc w:val="start"/>
        <w:rPr>
          <w:lang w:val="nl-NL"/>
        </w:rPr>
      </w:pPr>
      <w:r>
        <w:rPr>
          <w:lang w:val="nl-NL"/>
        </w:rPr>
        <w:t>Kas: 1902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In het deel 1894-1901 werd reeds gewezen op de grote mate van overeenkomst tussen de laatste twee door J.F. Witte gemaakte fronten voor de orgels in de Remonstrantse Kerk van Haarlem (1901, 334-335) en de Hervormde Kerk van Harmelen (1902). Beide fronten vinden hun oorsprong in het door J.F. Witte omstreeks 1899 ontworpen, maar niet gerealiseerde front in de stadsgehoorzaal van Middelburg: drie vlakke velden, waarvan het middelste hoger is dan de flankerende. </w:t>
      </w:r>
      <w:r>
        <w:rPr/>
        <w:t>De ornamentiek is in alledrie de (concept-) fronten in neorenaissance vormen gerealiseerd. De overeenkomsten tussen de fronten van Haarlem en Harmelen zijn groot, de verschillen miniem. Zo is de balustrade in Harmelen lager dan in Haarlem. De pilasters op de balustrade in Haarlem zijn niet voorzien van cannelures, die op de kortere halfzuilen in Harmelen wel. En zo vallen er bij een goede beschouwing van beide fronten nog wel meer verschillen in detaillering op, een beschouwing die enigszins bemoeilijkt wordt door het grote verschil in kleurstelling van beide kassen.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Bert Wisgerhof, </w:t>
      </w:r>
      <w:r>
        <w:rPr>
          <w:i/>
          <w:iCs/>
          <w:lang w:val="nl-NL"/>
        </w:rPr>
        <w:t>Utrechts orgellandschap</w:t>
      </w:r>
      <w:r>
        <w:rPr>
          <w:lang w:val="nl-NL"/>
        </w:rPr>
        <w:t>. Amersfoort, 1979, 72-75.</w:t>
      </w:r>
    </w:p>
    <w:p>
      <w:pPr>
        <w:pStyle w:val="T3Lit"/>
        <w:jc w:val="start"/>
        <w:rPr/>
      </w:pPr>
      <w:r>
        <w:rPr>
          <w:lang w:val="nl-NL"/>
        </w:rPr>
        <w:t xml:space="preserve">Teus den Toom, </w:t>
      </w:r>
      <w:r>
        <w:rPr>
          <w:i/>
          <w:lang w:val="nl-NL"/>
        </w:rPr>
        <w:t>De orgelmakers Witte</w:t>
      </w:r>
      <w:r>
        <w:rPr>
          <w:lang w:val="nl-NL"/>
        </w:rPr>
        <w:t>. Heerenveen, 1997, 946-947, 1125.</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Orgelarchief Teus den Toom.</w:t>
      </w:r>
    </w:p>
    <w:p>
      <w:pPr>
        <w:pStyle w:val="T3Lit"/>
        <w:jc w:val="start"/>
        <w:rPr>
          <w:lang w:val="nl-NL"/>
        </w:rPr>
      </w:pPr>
      <w:r>
        <w:rPr>
          <w:lang w:val="nl-NL"/>
        </w:rPr>
        <w:t>Witte-archief.</w:t>
      </w:r>
    </w:p>
    <w:p>
      <w:pPr>
        <w:pStyle w:val="T3Lit"/>
        <w:rPr>
          <w:lang w:val="nl-NL"/>
        </w:rPr>
      </w:pPr>
      <w:r>
        <w:rPr>
          <w:lang w:val="nl-NL"/>
        </w:rPr>
      </w:r>
    </w:p>
    <w:p>
      <w:pPr>
        <w:pStyle w:val="T3Lit"/>
        <w:rPr>
          <w:lang w:val="nl-NL"/>
        </w:rPr>
      </w:pPr>
      <w:r>
        <w:rPr>
          <w:lang w:val="nl-NL"/>
        </w:rPr>
        <w:t>Monumentnummer 20825</w:t>
      </w:r>
    </w:p>
    <w:p>
      <w:pPr>
        <w:pStyle w:val="T3Lit"/>
        <w:rPr>
          <w:lang w:val="nl-NL"/>
        </w:rPr>
      </w:pPr>
      <w:r>
        <w:rPr>
          <w:lang w:val="nl-NL"/>
        </w:rPr>
        <w:t>Orgelnummer 612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1902</w:t>
      </w:r>
    </w:p>
    <w:p>
      <w:pPr>
        <w:pStyle w:val="T1"/>
        <w:jc w:val="start"/>
        <w:rPr>
          <w:lang w:val="nl-NL"/>
        </w:rPr>
      </w:pPr>
      <w:r>
        <w:rPr>
          <w:lang w:val="nl-NL"/>
        </w:rPr>
      </w:r>
    </w:p>
    <w:p>
      <w:pPr>
        <w:pStyle w:val="T1"/>
        <w:jc w:val="start"/>
        <w:rPr>
          <w:lang w:val="nl-NL"/>
        </w:rPr>
      </w:pPr>
      <w:r>
        <w:rPr>
          <w:lang w:val="nl-NL"/>
        </w:rPr>
        <w:t>J. de Koff &amp; Zn 1928</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Flentrop Orgelbouw 1981</w:t>
      </w:r>
    </w:p>
    <w:p>
      <w:pPr>
        <w:pStyle w:val="T1"/>
        <w:numPr>
          <w:ilvl w:val="1"/>
          <w:numId w:val="2"/>
        </w:numPr>
        <w:jc w:val="start"/>
        <w:rPr>
          <w:lang w:val="nl-NL"/>
        </w:rPr>
      </w:pPr>
      <w:r>
        <w:rPr>
          <w:lang w:val="nl-NL"/>
        </w:rPr>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62" w:type="dxa"/>
        <w:jc w:val="start"/>
        <w:tblInd w:w="-70" w:type="dxa"/>
        <w:tblLayout w:type="fixed"/>
        <w:tblCellMar>
          <w:top w:w="0" w:type="dxa"/>
          <w:start w:w="70" w:type="dxa"/>
          <w:bottom w:w="0" w:type="dxa"/>
          <w:end w:w="70" w:type="dxa"/>
        </w:tblCellMar>
      </w:tblPr>
      <w:tblGrid>
        <w:gridCol w:w="1330"/>
        <w:gridCol w:w="901"/>
        <w:gridCol w:w="1690"/>
        <w:gridCol w:w="375"/>
        <w:gridCol w:w="1077"/>
        <w:gridCol w:w="689"/>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Flageolet</w:t>
            </w:r>
          </w:p>
          <w:p>
            <w:pPr>
              <w:pStyle w:val="T4dispositie"/>
              <w:jc w:val="start"/>
              <w:rPr>
                <w:lang w:val="nl-NL"/>
              </w:rPr>
            </w:pPr>
            <w:r>
              <w:rPr>
                <w:lang w:val="nl-NL"/>
              </w:rPr>
              <w:t>Mixtuur</w:t>
            </w:r>
          </w:p>
          <w:p>
            <w:pPr>
              <w:pStyle w:val="T4dispositie"/>
              <w:jc w:val="start"/>
              <w:rPr>
                <w:lang w:val="nl-NL"/>
              </w:rPr>
            </w:pPr>
            <w:r>
              <w:rPr>
                <w:lang w:val="nl-NL"/>
              </w:rPr>
              <w:t>Trompet</w:t>
            </w:r>
          </w:p>
        </w:tc>
        <w:tc>
          <w:tcPr>
            <w:tcW w:w="90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lang w:val="en-GB"/>
              </w:rPr>
              <w:t>'</w:t>
            </w:r>
          </w:p>
          <w:p>
            <w:pPr>
              <w:pStyle w:val="T4dispositie"/>
              <w:jc w:val="start"/>
              <w:rPr>
                <w:lang w:val="nl-NL"/>
              </w:rPr>
            </w:pPr>
            <w:r>
              <w:rPr>
                <w:lang w:val="nl-NL"/>
              </w:rPr>
              <w:t>8</w:t>
            </w:r>
            <w:r>
              <w:rPr>
                <w:lang w:val="en-GB"/>
              </w:rPr>
              <w:t>'</w:t>
            </w:r>
          </w:p>
          <w:p>
            <w:pPr>
              <w:pStyle w:val="T4dispositie"/>
              <w:jc w:val="start"/>
              <w:rPr>
                <w:lang w:val="nl-NL"/>
              </w:rPr>
            </w:pPr>
            <w:r>
              <w:rPr>
                <w:lang w:val="nl-NL"/>
              </w:rPr>
              <w:t>4</w:t>
            </w:r>
            <w:r>
              <w:rPr>
                <w:lang w:val="en-GB"/>
              </w:rPr>
              <w:t>'</w:t>
            </w:r>
          </w:p>
          <w:p>
            <w:pPr>
              <w:pStyle w:val="T4dispositie"/>
              <w:jc w:val="start"/>
              <w:rPr>
                <w:lang w:val="nl-NL"/>
              </w:rPr>
            </w:pPr>
            <w:r>
              <w:rPr>
                <w:lang w:val="nl-NL"/>
              </w:rPr>
              <w:t>2</w:t>
            </w:r>
            <w:r>
              <w:rPr>
                <w:lang w:val="en-GB"/>
              </w:rPr>
              <w:t>'</w:t>
            </w:r>
          </w:p>
          <w:p>
            <w:pPr>
              <w:pStyle w:val="T4dispositie"/>
              <w:jc w:val="start"/>
              <w:rPr>
                <w:lang w:val="nl-NL"/>
              </w:rPr>
            </w:pPr>
            <w:r>
              <w:rPr>
                <w:lang w:val="nl-NL"/>
              </w:rPr>
              <w:t>2-4 st.</w:t>
            </w:r>
          </w:p>
          <w:p>
            <w:pPr>
              <w:pStyle w:val="T4dispositie"/>
              <w:jc w:val="start"/>
              <w:rPr>
                <w:lang w:val="nl-NL"/>
              </w:rPr>
            </w:pPr>
            <w:r>
              <w:rPr>
                <w:lang w:val="nl-NL"/>
              </w:rPr>
              <w:t>8</w:t>
            </w:r>
            <w:r>
              <w:rPr>
                <w:lang w:val="en-GB"/>
              </w:rPr>
              <w:t>'</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Holfluit</w:t>
            </w:r>
          </w:p>
          <w:p>
            <w:pPr>
              <w:pStyle w:val="T4dispositie"/>
              <w:jc w:val="start"/>
              <w:rPr>
                <w:lang w:val="nl-NL"/>
              </w:rPr>
            </w:pPr>
            <w:r>
              <w:rPr>
                <w:lang w:val="nl-NL"/>
              </w:rPr>
              <w:t>Salicet</w:t>
            </w:r>
          </w:p>
          <w:p>
            <w:pPr>
              <w:pStyle w:val="T4dispositie"/>
              <w:jc w:val="start"/>
              <w:rPr>
                <w:lang w:val="nl-NL"/>
              </w:rPr>
            </w:pPr>
            <w:r>
              <w:rPr>
                <w:lang w:val="nl-NL"/>
              </w:rPr>
              <w:t>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lang w:val="en-GB"/>
              </w:rPr>
              <w:t>'</w:t>
            </w:r>
          </w:p>
          <w:p>
            <w:pPr>
              <w:pStyle w:val="T4dispositie"/>
              <w:jc w:val="start"/>
              <w:rPr>
                <w:lang w:val="nl-NL"/>
              </w:rPr>
            </w:pPr>
            <w:r>
              <w:rPr>
                <w:lang w:val="nl-NL"/>
              </w:rPr>
              <w:t>8</w:t>
            </w:r>
            <w:r>
              <w:rPr>
                <w:lang w:val="en-GB"/>
              </w:rPr>
              <w:t>'</w:t>
            </w:r>
          </w:p>
          <w:p>
            <w:pPr>
              <w:pStyle w:val="T4dispositie"/>
              <w:jc w:val="start"/>
              <w:rPr>
                <w:lang w:val="nl-NL"/>
              </w:rPr>
            </w:pPr>
            <w:r>
              <w:rPr>
                <w:lang w:val="nl-NL"/>
              </w:rPr>
              <w:t>4</w:t>
            </w:r>
            <w:r>
              <w:rPr>
                <w:lang w:val="en-GB"/>
              </w:rPr>
              <w:t>'</w:t>
            </w:r>
          </w:p>
        </w:tc>
        <w:tc>
          <w:tcPr>
            <w:tcW w:w="1077"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68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pPr>
            <w:r>
              <w:rPr>
                <w:lang w:val="nl-NL"/>
              </w:rPr>
              <w:t>16</w:t>
            </w:r>
            <w:r>
              <w:rPr>
                <w:lang w:val="en-GB"/>
              </w:rPr>
              <w:t>'</w:t>
            </w:r>
            <w:r>
              <w:rPr>
                <w:lang w:val="nl-NL"/>
              </w:rPr>
              <w:t xml:space="preserve">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en-GB"/>
        </w:rPr>
      </w:pPr>
      <w:r>
        <w:rPr>
          <w:lang w:val="en-GB"/>
        </w:rPr>
        <w:t>manuaalkoppel</w:t>
      </w:r>
    </w:p>
    <w:p>
      <w:pPr>
        <w:pStyle w:val="T1"/>
        <w:jc w:val="start"/>
        <w:rPr>
          <w:lang w:val="nl-NL"/>
        </w:rPr>
      </w:pPr>
      <w:r>
        <w:rPr>
          <w:lang w:val="nl-NL"/>
        </w:rPr>
        <w:t>pedaalkoppel (naar keuze aan I of II)</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4299" w:type="dxa"/>
        <w:jc w:val="start"/>
        <w:tblInd w:w="-70" w:type="dxa"/>
        <w:tblLayout w:type="fixed"/>
        <w:tblCellMar>
          <w:top w:w="0" w:type="dxa"/>
          <w:start w:w="70" w:type="dxa"/>
          <w:bottom w:w="0" w:type="dxa"/>
          <w:end w:w="70" w:type="dxa"/>
        </w:tblCellMar>
      </w:tblPr>
      <w:tblGrid>
        <w:gridCol w:w="948"/>
        <w:gridCol w:w="668"/>
        <w:gridCol w:w="668"/>
        <w:gridCol w:w="679"/>
        <w:gridCol w:w="668"/>
        <w:gridCol w:w="668"/>
      </w:tblGrid>
      <w:tr>
        <w:trPr/>
        <w:tc>
          <w:tcPr>
            <w:tcW w:w="948" w:type="dxa"/>
            <w:tcBorders/>
          </w:tcPr>
          <w:p>
            <w:pPr>
              <w:pStyle w:val="T1"/>
              <w:jc w:val="start"/>
              <w:rPr>
                <w:lang w:val="nl-NL"/>
              </w:rPr>
            </w:pPr>
            <w:r>
              <w:rPr>
                <w:lang w:val="nl-NL"/>
              </w:rPr>
              <w:t>Mixtuur</w:t>
            </w:r>
          </w:p>
        </w:tc>
        <w:tc>
          <w:tcPr>
            <w:tcW w:w="66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66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79"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68"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68"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(1902)</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van HW en NW zijn in een horizontale rij boven de lessenaarbak geplaatst. De pedaalkoppel is uitgevoerd als lepelvormige trede. De registernamen zijn op witte porseleinen plaatjes, bevestigd op de knoppen, aangebracht.</w:t>
      </w:r>
    </w:p>
    <w:p>
      <w:pPr>
        <w:pStyle w:val="T1"/>
        <w:jc w:val="start"/>
        <w:rPr>
          <w:lang w:val="nl-NL"/>
        </w:rPr>
      </w:pPr>
      <w:r>
        <w:rPr>
          <w:lang w:val="nl-NL"/>
        </w:rPr>
        <w:t>De lade voor HW en NW is gecombineerd en heeft een dubbele ventielkast. Het pijpwerk is als volgt opgesteld: C en Cis in het midden, het vervolg naar weerszijden in hele tonen aflopend. Onder de windlade bevindt zich de magazijnbalg met beide schepbalgen.</w:t>
      </w:r>
    </w:p>
    <w:p>
      <w:pPr>
        <w:pStyle w:val="T1"/>
        <w:jc w:val="start"/>
        <w:rPr/>
      </w:pPr>
      <w:r>
        <w:rPr>
          <w:lang w:val="nl-NL"/>
        </w:rPr>
        <w:t>De registers van het NW staan direct achter het front. C-c van de Holfluit 8' zijn van grenen, gedekt, het vervolg is van orgelmetaal, gedekt. De Salicet 8</w:t>
      </w:r>
      <w:r>
        <w:rPr>
          <w:szCs w:val="24"/>
          <w:lang w:val="nl-NL" w:bidi="zxx"/>
        </w:rPr>
        <w:t>'</w:t>
      </w:r>
      <w:r>
        <w:rPr>
          <w:lang w:val="nl-NL"/>
        </w:rPr>
        <w:t xml:space="preserve"> is van C-Gis gecombineerd met de Prestant 8</w:t>
      </w:r>
      <w:r>
        <w:rPr>
          <w:szCs w:val="24"/>
          <w:lang w:val="nl-NL" w:bidi="zxx"/>
        </w:rPr>
        <w:t>'</w:t>
      </w:r>
      <w:r>
        <w:rPr>
          <w:lang w:val="nl-NL"/>
        </w:rPr>
        <w:t>, A-d staan in het front (tin), het vervolg staat op de lade; A-f</w:t>
      </w:r>
      <w:r>
        <w:rPr>
          <w:szCs w:val="24"/>
          <w:vertAlign w:val="superscript"/>
          <w:lang w:val="nl-NL"/>
        </w:rPr>
        <w:t>2</w:t>
      </w:r>
      <w:r>
        <w:rPr>
          <w:lang w:val="nl-NL"/>
        </w:rPr>
        <w:t xml:space="preserve"> met expressions. De Fluit 4' is van orgelmetaal, open en heeft expressions van C-f</w:t>
      </w:r>
      <w:r>
        <w:rPr>
          <w:szCs w:val="24"/>
          <w:vertAlign w:val="superscript"/>
          <w:lang w:val="nl-NL"/>
        </w:rPr>
        <w:t>1</w:t>
      </w:r>
      <w:r>
        <w:rPr>
          <w:lang w:val="nl-NL"/>
        </w:rPr>
        <w:t>.</w:t>
      </w:r>
    </w:p>
    <w:p>
      <w:pPr>
        <w:pStyle w:val="T1"/>
        <w:jc w:val="start"/>
        <w:rPr/>
      </w:pPr>
      <w:r>
        <w:rPr>
          <w:lang w:val="nl-NL"/>
        </w:rPr>
        <w:t>C-d</w:t>
      </w:r>
      <w:r>
        <w:rPr>
          <w:szCs w:val="24"/>
          <w:vertAlign w:val="superscript"/>
          <w:lang w:val="nl-NL"/>
        </w:rPr>
        <w:t>1</w:t>
      </w:r>
      <w:r>
        <w:rPr>
          <w:lang w:val="nl-NL"/>
        </w:rPr>
        <w:t xml:space="preserve"> van de Bourdon 16 zijn van grenen (gedekt) en staan op een aparte lade aan de rechterzijde van de kas. Het vervolg is van orgelmetaal (gedekt). De Prestant 8' staat van C-e in het front (tin). C-f</w:t>
      </w:r>
      <w:r>
        <w:rPr>
          <w:vertAlign w:val="superscript"/>
          <w:lang w:val="nl-NL"/>
        </w:rPr>
        <w:t>2</w:t>
      </w:r>
      <w:r>
        <w:rPr>
          <w:lang w:val="nl-NL"/>
        </w:rPr>
        <w:t xml:space="preserve"> hebben expressions. Van de Octaaf 4' hebben C-f</w:t>
      </w:r>
      <w:r>
        <w:rPr>
          <w:vertAlign w:val="superscript"/>
          <w:lang w:val="nl-NL"/>
        </w:rPr>
        <w:t>1</w:t>
      </w:r>
      <w:r>
        <w:rPr>
          <w:lang w:val="nl-NL"/>
        </w:rPr>
        <w:t xml:space="preserve"> expressions, van de Flageolet 2</w:t>
      </w:r>
      <w:r>
        <w:rPr>
          <w:szCs w:val="24"/>
          <w:lang w:val="nl-NL" w:bidi="zxx"/>
        </w:rPr>
        <w:t>'</w:t>
      </w:r>
      <w:r>
        <w:rPr>
          <w:lang w:val="nl-NL"/>
        </w:rPr>
        <w:t xml:space="preserve"> C-f. Laatstgenoemd register is in de discant overblazend. De Mixtuur is voor een klein deel voorzien van expressions. De Trompet 8</w:t>
      </w:r>
      <w:r>
        <w:rPr>
          <w:szCs w:val="24"/>
          <w:lang w:val="nl-NL" w:bidi="zxx"/>
        </w:rPr>
        <w:t>'</w:t>
      </w:r>
      <w:r>
        <w:rPr>
          <w:lang w:val="nl-NL"/>
        </w:rPr>
        <w:t xml:space="preserve"> heeft metalen stevels (met messing banden), koppen en (trechtervormige) bekers. De kelen en tongen zijn van messing.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lvl w:ilvl="1">
      <w:start w:val="1"/>
      <w:numFmt w:val="bullet"/>
      <w:lvlText w:val=""/>
      <w:lvlJc w:val="start"/>
      <w:pPr>
        <w:tabs>
          <w:tab w:val="num" w:pos="1817"/>
        </w:tabs>
        <w:ind w:start="1817" w:hanging="737"/>
      </w:pPr>
      <w:rPr>
        <w:rFonts w:ascii="Symbol" w:hAnsi="Symbol" w:cs="Symbol"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2">
    <w:name w:val="WW8Num1z2"/>
    <w:qFormat/>
    <w:rPr>
      <w:rFonts w:ascii="Wingdings" w:hAnsi="Wingdings" w:cs="Wingdings"/>
    </w:rPr>
  </w:style>
  <w:style w:type="character" w:styleId="WW8Num1z4">
    <w:name w:val="WW8Num1z4"/>
    <w:qFormat/>
    <w:rPr>
      <w:rFonts w:ascii="Courier New" w:hAnsi="Courier New" w:cs="Courier New"/>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2005-01-04T15:41:00Z</dcterms:created>
  <dc:creator>WS1</dc:creator>
  <dc:description/>
  <dc:language>en-US</dc:language>
  <cp:lastModifiedBy>NIvO</cp:lastModifiedBy>
  <dcterms:modified xsi:type="dcterms:W3CDTF">2009-09-28T15:51:00Z</dcterms:modified>
  <cp:revision>16</cp:revision>
  <dc:subject/>
  <dc:title>Utrecht / 1880</dc:title>
</cp:coreProperties>
</file>