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Hattem / 1909</w:t>
      </w:r>
    </w:p>
    <w:p>
      <w:pPr>
        <w:pStyle w:val="Heading2"/>
        <w:rPr>
          <w:i w:val="false"/>
          <w:i w:val="false"/>
          <w:iCs/>
        </w:rPr>
      </w:pPr>
      <w:r>
        <w:rPr>
          <w:i w:val="false"/>
          <w:iCs/>
        </w:rPr>
        <w:t>Gasthuiskerk</w:t>
      </w:r>
    </w:p>
    <w:p>
      <w:pPr>
        <w:pStyle w:val="T1"/>
        <w:jc w:val="start"/>
        <w:rPr>
          <w:i/>
          <w:i/>
          <w:iCs/>
          <w:lang w:val="nl-NL"/>
        </w:rPr>
      </w:pPr>
      <w:r>
        <w:rPr>
          <w:i/>
          <w:iCs/>
          <w:lang w:val="nl-NL"/>
        </w:rPr>
      </w:r>
    </w:p>
    <w:p>
      <w:pPr>
        <w:pStyle w:val="T1"/>
        <w:jc w:val="start"/>
        <w:rPr>
          <w:i/>
          <w:i/>
          <w:iCs/>
          <w:lang w:val="nl-NL"/>
        </w:rPr>
      </w:pPr>
      <w:r>
        <w:rPr>
          <w:i/>
          <w:iCs/>
          <w:lang w:val="nl-NL"/>
        </w:rPr>
        <w:t>Monumentale, overdwars ingerichte zaalkerk met rondboogvensters en neorenaissancistische details, gebouwd in 1899. Bij de restauratie van 1999 werden de galerijen tegen de beide topgevels verwijderd en werden die aan weerskanten van het orgel naar voren vergroot. Kansel en verdere inrichting dateren uit 1999.</w:t>
      </w:r>
    </w:p>
    <w:p>
      <w:pPr>
        <w:pStyle w:val="T1"/>
        <w:jc w:val="start"/>
        <w:rPr>
          <w:i/>
          <w:i/>
          <w:iCs/>
          <w:lang w:val="nl-NL"/>
        </w:rPr>
      </w:pPr>
      <w:r>
        <w:rPr>
          <w:i/>
          <w:iCs/>
          <w:lang w:val="nl-NL"/>
        </w:rPr>
        <w:t>Links van de kerk de bijbehorende pastorie, eveneens met neorenaissancistische details en het catechisatielokaal uit 1897, voorzien van spitsboogvensters.</w:t>
      </w:r>
    </w:p>
    <w:p>
      <w:pPr>
        <w:pStyle w:val="T1"/>
        <w:jc w:val="start"/>
        <w:rPr>
          <w:i/>
          <w:i/>
          <w:iCs/>
          <w:lang w:val="nl-NL"/>
        </w:rPr>
      </w:pPr>
      <w:r>
        <w:rPr>
          <w:i/>
          <w:iCs/>
          <w:lang w:val="nl-NL"/>
        </w:rPr>
      </w:r>
    </w:p>
    <w:p>
      <w:pPr>
        <w:pStyle w:val="T1"/>
        <w:jc w:val="start"/>
        <w:rPr>
          <w:lang w:val="nl-NL"/>
        </w:rPr>
      </w:pPr>
      <w:r>
        <w:rPr>
          <w:lang w:val="nl-NL"/>
        </w:rPr>
        <w:t>Kas: 1909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minder bekend frontontwerp van de orgelmakers Bakker &amp; Timmenga. Het werd viermaal toegepast, maar twee van deze vier fronten bestaan intussen niet meer. Het prototype kwam in 1904 tot stand in de Gereformeerde Kerk aan de Duytstraat te Rotterdam-Delfshaven maar overleefde de in 1956 uitgevoerde verbouwing en uitbreiding niet. Het laatste exemplaar dateerde uit 1920 en stond in de Gereformeerde Kerk van Wanswerd a/d Streek, waar het voor een ‘vernieuwbouw’ moest wijken. Halverwege die uitersten bevinden zich de nog bestaande fronten van dit type, behorend bij de orgels van Hattem (1909) en Spannum (1911).</w:t>
      </w:r>
    </w:p>
    <w:p>
      <w:pPr>
        <w:pStyle w:val="T2Kunst"/>
        <w:jc w:val="start"/>
        <w:rPr>
          <w:lang w:val="nl-NL"/>
        </w:rPr>
      </w:pPr>
      <w:r>
        <w:rPr>
          <w:lang w:val="nl-NL"/>
        </w:rPr>
        <w:t>De opzet van het front verraadt in de eerste plaats dat de orgelmakers bij deze orgels afzagen van een indeling met Bovenwerk, waardoor de manuaalladen op gelijke hoogte werden geplaatst. Verder zijn of waren de hoofdvorm en de ornamenten bij alle fronten vrijwel gelijk. Bij het orgel van Hattem vormen de zijstukken een uitzondering: deze komen of kwamen bij de andere drie orgels niet voor. Ook is er nog een verschil te vermelden ten opzichte van het aantal pijpen in de zijtorens. In Delfshaven en Hattem werden zeven pijpen in de zijtorens geplaatst, in Spannum en Wanswerd negen.</w:t>
      </w:r>
    </w:p>
    <w:p>
      <w:pPr>
        <w:pStyle w:val="T2Kunst"/>
        <w:jc w:val="start"/>
        <w:rPr>
          <w:lang w:val="nl-NL"/>
        </w:rPr>
      </w:pPr>
      <w:r>
        <w:rPr>
          <w:lang w:val="nl-NL"/>
        </w:rPr>
        <w:t>Boeiend is het om te zien hoe binnen het traditionele stramien van hoge middentoren, lagere zijtorens en tussenvelden een volkomen nieuw ontwerp met een sterke identiteit is ontstaan.</w:t>
      </w:r>
    </w:p>
    <w:p>
      <w:pPr>
        <w:pStyle w:val="T2Kunst"/>
        <w:jc w:val="start"/>
        <w:rPr>
          <w:lang w:val="nl-NL"/>
        </w:rPr>
      </w:pPr>
      <w:r>
        <w:rPr>
          <w:lang w:val="nl-NL"/>
        </w:rPr>
        <w:t>De middentoren, door middel van een stijl in tweeën gedeeld, wat door de labiumlijnen van de twee helften nog nader wordt onderbouwd, bestaat in feite uit twee velden, die onder een hoek zijn geplaatst en samen een spitstoren vormen. Het is duidelijk een citaat uit het fronttype van bijvoorbeeld Suameer van 1907 (zie elders in dit deel) waar dit idee voor de zijtorens is gebruikt, zij het dan met een labiumverloop dat meer de eenheid dan de zelfstandigheid van dit element benadrukt.</w:t>
      </w:r>
    </w:p>
    <w:p>
      <w:pPr>
        <w:pStyle w:val="T2Kunst"/>
        <w:jc w:val="start"/>
        <w:rPr>
          <w:lang w:val="nl-NL"/>
        </w:rPr>
      </w:pPr>
      <w:r>
        <w:rPr>
          <w:lang w:val="nl-NL"/>
        </w:rPr>
        <w:t>Daarnaast heeft de vormgeving van het front ook een eclectisch karakter. De spitsbogen bovenaan in de torens en onderaan, omgekeerd, bij de velden, en de kruisbloemen op de bekroningen herinneren aan gotische vormen. De zijstukken in Hattem doen dat ook. Al die elementen zijn echter gecombineerd met lijstwerk, in zowel de torenkappen als boven de tussenvelden, die, evenals de detaillering van de frontstijlen, meer naar de neorenaissance neigen, net als de tot kleine sierstukjes verschrompelde opzetstukjes op de bovenlijst van de velden, in de verte aan tympanons herinnerend.</w:t>
      </w:r>
    </w:p>
    <w:p>
      <w:pPr>
        <w:pStyle w:val="T2Kunst"/>
        <w:jc w:val="start"/>
        <w:rPr>
          <w:lang w:val="nl-NL"/>
        </w:rPr>
      </w:pPr>
      <w:r>
        <w:rPr>
          <w:lang w:val="nl-NL"/>
        </w:rPr>
        <w:t>Los van stijlanalyse geeft de contrabeweging tussen consoles onder de torens en massieve bekroningen op de torens dit front een bijna dramatische uitstraling. De centraal onder de middentoren geplaatste dragende kolom onder het front van Hattem draagt daar zeker toe bij.</w:t>
      </w:r>
    </w:p>
    <w:p>
      <w:pPr>
        <w:pStyle w:val="T2Kunst"/>
        <w:jc w:val="start"/>
        <w:rPr>
          <w:lang w:val="nl-NL"/>
        </w:rPr>
      </w:pPr>
      <w:r>
        <w:rPr>
          <w:lang w:val="nl-NL"/>
        </w:rPr>
        <w:t>In de bij alle vier de fronten gelijke uitvoering van de hoge onderbouw kan tenslotte nog een derde stijlelement, zij het vaag, worden herkend, dat van de in de bouwtijd van deze instrumenten gangbare Jugendstil.</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Het Orgel</w:t>
      </w:r>
      <w:r>
        <w:rPr>
          <w:lang w:val="nl-NL"/>
        </w:rPr>
        <w:t>, 69/2 (1973), 42; 70/1 (1974), 27.</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1982</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D.A. Flentrop 1973</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transmissie Bourdon 16' Ped vergroot van 13 naar 27 tonen</w:t>
      </w:r>
    </w:p>
    <w:p>
      <w:pPr>
        <w:pStyle w:val="T1"/>
        <w:numPr>
          <w:ilvl w:val="0"/>
          <w:numId w:val="2"/>
        </w:numPr>
        <w:jc w:val="start"/>
        <w:rPr>
          <w:lang w:val="nl-NL"/>
        </w:rPr>
      </w:pPr>
      <w:r>
        <w:rPr>
          <w:lang w:val="nl-NL"/>
        </w:rPr>
        <w:t>windladen gerestaureerd en van nieuwe verende slepen voorzien</w:t>
      </w:r>
    </w:p>
    <w:p>
      <w:pPr>
        <w:pStyle w:val="T1"/>
        <w:numPr>
          <w:ilvl w:val="0"/>
          <w:numId w:val="2"/>
        </w:numPr>
        <w:jc w:val="start"/>
        <w:rPr>
          <w:lang w:val="nl-NL"/>
        </w:rPr>
      </w:pPr>
      <w:r>
        <w:rPr>
          <w:lang w:val="nl-NL"/>
        </w:rPr>
        <w:t>dispositiewijzigingen:</w:t>
      </w:r>
    </w:p>
    <w:p>
      <w:pPr>
        <w:pStyle w:val="T1"/>
        <w:ind w:start="708" w:hanging="0"/>
        <w:jc w:val="start"/>
        <w:rPr/>
      </w:pPr>
      <w:r>
        <w:rPr/>
        <w:t>HW - Cornet D 3 st., + Mixtuur 2-4 st.</w:t>
      </w:r>
    </w:p>
    <w:p>
      <w:pPr>
        <w:pStyle w:val="T1"/>
        <w:ind w:start="708" w:hanging="0"/>
        <w:jc w:val="start"/>
        <w:rPr>
          <w:lang w:val="nl-NL"/>
        </w:rPr>
      </w:pPr>
      <w:r>
        <w:rPr>
          <w:lang w:val="nl-NL"/>
        </w:rPr>
        <w:t>NW Salicionaal 8</w:t>
      </w:r>
      <w:r>
        <w:rPr>
          <w:szCs w:val="24"/>
          <w:lang w:val="nl-NL" w:bidi="zxx"/>
        </w:rPr>
        <w:t>' $ </w:t>
      </w:r>
      <w:r>
        <w:rPr>
          <w:lang w:val="nl-NL"/>
        </w:rPr>
        <w:t>Prestant 4</w:t>
      </w:r>
      <w:r>
        <w:rPr>
          <w:szCs w:val="24"/>
          <w:lang w:val="nl-NL" w:bidi="zxx"/>
        </w:rPr>
        <w:t>'</w:t>
      </w:r>
    </w:p>
    <w:p>
      <w:pPr>
        <w:pStyle w:val="T1"/>
        <w:jc w:val="start"/>
        <w:rPr>
          <w:lang w:val="nl-NL"/>
        </w:rPr>
      </w:pPr>
      <w:r>
        <w:rPr>
          <w:lang w:val="nl-NL"/>
        </w:rPr>
      </w:r>
    </w:p>
    <w:p>
      <w:pPr>
        <w:pStyle w:val="T1"/>
        <w:jc w:val="start"/>
        <w:rPr>
          <w:lang w:val="nl-NL"/>
        </w:rPr>
      </w:pPr>
      <w:r>
        <w:rPr>
          <w:lang w:val="nl-NL"/>
        </w:rPr>
        <w:t>Orgelmakerij bakker &amp; Timmenga 1999</w:t>
      </w:r>
    </w:p>
    <w:p>
      <w:pPr>
        <w:pStyle w:val="T1"/>
        <w:numPr>
          <w:ilvl w:val="0"/>
          <w:numId w:val="3"/>
        </w:numPr>
        <w:jc w:val="start"/>
        <w:rPr>
          <w:lang w:val="nl-NL"/>
        </w:rPr>
      </w:pPr>
      <w:r>
        <w:rPr>
          <w:lang w:val="nl-NL"/>
        </w:rPr>
        <w:t>orgelkas en ornamentiek hersteld</w:t>
      </w:r>
    </w:p>
    <w:p>
      <w:pPr>
        <w:pStyle w:val="T1"/>
        <w:numPr>
          <w:ilvl w:val="0"/>
          <w:numId w:val="3"/>
        </w:numPr>
        <w:tabs>
          <w:tab w:val="clear" w:pos="708"/>
          <w:tab w:val="left" w:pos="8820" w:leader="none"/>
        </w:tabs>
        <w:jc w:val="start"/>
        <w:rPr>
          <w:lang w:val="nl-NL"/>
        </w:rPr>
      </w:pPr>
      <w:r>
        <w:rPr>
          <w:lang w:val="nl-NL"/>
        </w:rPr>
        <w:t>balg gerepareerd</w:t>
      </w:r>
    </w:p>
    <w:p>
      <w:pPr>
        <w:pStyle w:val="T1"/>
        <w:numPr>
          <w:ilvl w:val="0"/>
          <w:numId w:val="3"/>
        </w:numPr>
        <w:jc w:val="start"/>
        <w:rPr>
          <w:lang w:val="nl-NL"/>
        </w:rPr>
      </w:pPr>
      <w:r>
        <w:rPr>
          <w:lang w:val="nl-NL"/>
        </w:rPr>
        <w:t>verende slepen vervangen door ‘klassieke’ slepen</w:t>
      </w:r>
    </w:p>
    <w:p>
      <w:pPr>
        <w:pStyle w:val="T1"/>
        <w:numPr>
          <w:ilvl w:val="0"/>
          <w:numId w:val="3"/>
        </w:numPr>
        <w:jc w:val="start"/>
        <w:rPr>
          <w:lang w:val="nl-NL"/>
        </w:rPr>
      </w:pPr>
      <w:r>
        <w:rPr>
          <w:lang w:val="nl-NL"/>
        </w:rPr>
        <w:t>dispositie hersteld; winddruk en intonatie herzien</w:t>
      </w:r>
    </w:p>
    <w:p>
      <w:pPr>
        <w:pStyle w:val="T1"/>
        <w:jc w:val="start"/>
        <w:rPr>
          <w:lang w:val="nl-NL"/>
        </w:rPr>
      </w:pPr>
      <w:r>
        <w:rPr>
          <w:lang w:val="nl-NL"/>
        </w:rPr>
      </w:r>
    </w:p>
    <w:p>
      <w:pPr>
        <w:pStyle w:val="T1"/>
        <w:jc w:val="start"/>
        <w:rPr>
          <w:lang w:val="nl-NL"/>
        </w:rPr>
      </w:pPr>
      <w:r>
        <w:rPr>
          <w:lang w:val="nl-NL"/>
        </w:rPr>
        <w:t>1999</w:t>
      </w:r>
    </w:p>
    <w:p>
      <w:pPr>
        <w:pStyle w:val="T1"/>
        <w:numPr>
          <w:ilvl w:val="0"/>
          <w:numId w:val="4"/>
        </w:numPr>
        <w:jc w:val="start"/>
        <w:rPr>
          <w:lang w:val="nl-NL"/>
        </w:rPr>
      </w:pPr>
      <w:r>
        <w:rPr>
          <w:lang w:val="nl-NL"/>
        </w:rPr>
        <w:t>orgelkas in lichte kleuren overgeschilderd in kader kerkrestauratie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190" w:type="dxa"/>
        <w:jc w:val="start"/>
        <w:tblInd w:w="-70" w:type="dxa"/>
        <w:tblLayout w:type="fixed"/>
        <w:tblCellMar>
          <w:top w:w="0" w:type="dxa"/>
          <w:start w:w="70" w:type="dxa"/>
          <w:bottom w:w="0" w:type="dxa"/>
          <w:end w:w="70" w:type="dxa"/>
        </w:tblCellMar>
      </w:tblPr>
      <w:tblGrid>
        <w:gridCol w:w="1330"/>
        <w:gridCol w:w="720"/>
        <w:gridCol w:w="1620"/>
        <w:gridCol w:w="540"/>
        <w:gridCol w:w="126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Eoline</w:t>
            </w:r>
          </w:p>
          <w:p>
            <w:pPr>
              <w:pStyle w:val="T4dispositie"/>
              <w:rPr>
                <w:lang w:val="nl-NL"/>
              </w:rPr>
            </w:pPr>
            <w:r>
              <w:rPr>
                <w:lang w:val="nl-NL"/>
              </w:rPr>
              <w:t>Fluit Travers</w:t>
            </w:r>
          </w:p>
          <w:p>
            <w:pPr>
              <w:pStyle w:val="T4dispositie"/>
              <w:rPr>
                <w:lang w:val="nl-NL"/>
              </w:rPr>
            </w:pPr>
            <w:r>
              <w:rPr>
                <w:lang w:val="nl-NL"/>
              </w:rPr>
              <w:t>Woudfluit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26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4 - 2 2/3 - 1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(1909)</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De frontpijpen zijn van metaal met een hoog tingehalte. In het front spreken C-dis</w:t>
      </w:r>
      <w:r>
        <w:rPr>
          <w:vertAlign w:val="superscript"/>
          <w:lang w:val="nl-NL"/>
        </w:rPr>
        <w:t>1</w:t>
      </w:r>
      <w:r>
        <w:rPr>
          <w:lang w:val="nl-NL"/>
        </w:rPr>
        <w:t xml:space="preserve"> van de Prestant 8'. Van de middentoren spreken alle pijpen, in de spitse zijtorens zijn de buitenste pijpen stom, in de tussenvelden spreken per veld vier pijpen.</w:t>
      </w:r>
    </w:p>
    <w:p>
      <w:pPr>
        <w:pStyle w:val="T1"/>
        <w:jc w:val="start"/>
        <w:rPr/>
      </w:pPr>
      <w:r>
        <w:rPr>
          <w:lang w:val="nl-NL"/>
        </w:rPr>
        <w:t>De handklavieren hebben kunststof beleg op de ondertoetsen. Bij het overschilderen van de kas in 1999 zijn lijsten en bakstukken ook mee geschilderd. De registerknoppen van beide manuaalwerken zijn op één rij boven de lessenaar geplaatst. Voorts links van de lessenaar klavierkoppel en pedaalbourdon, rechts van de lessenaar tremulant en ventiel. De pedaalkoppel wordt door middel van de trede bediend. Het eiken pedaalklavier heeft boventoetsen van gelijke lengte. In het bestek wordt een pedaalomvang van C-c</w:t>
      </w:r>
      <w:r>
        <w:rPr>
          <w:vertAlign w:val="superscript"/>
          <w:lang w:val="nl-NL"/>
        </w:rPr>
        <w:t>1</w:t>
      </w:r>
      <w:r>
        <w:rPr>
          <w:lang w:val="nl-NL"/>
        </w:rPr>
        <w:t xml:space="preserve"> voorzien.</w:t>
      </w:r>
    </w:p>
    <w:p>
      <w:pPr>
        <w:pStyle w:val="T1"/>
        <w:jc w:val="start"/>
        <w:rPr>
          <w:lang w:val="nl-NL"/>
        </w:rPr>
      </w:pPr>
      <w:r>
        <w:rPr>
          <w:lang w:val="nl-NL"/>
        </w:rPr>
        <w:t>De balg ligt onder in de kas. Tengevolge van veranderingen in de omgeving van het orgel is de handpomp in 1999 gedemonteerd. De tremulant is een inliggende kanaaltremulant.</w:t>
      </w:r>
    </w:p>
    <w:p>
      <w:pPr>
        <w:pStyle w:val="T1"/>
        <w:jc w:val="start"/>
        <w:rPr/>
      </w:pPr>
      <w:r>
        <w:rPr>
          <w:lang w:val="nl-NL"/>
        </w:rPr>
        <w:t>De windladen van de manualen liggen achter elkaar in de kas, gescheiden door een stempad. Oorspronkelijk betrad men de kas door een deur in de achterwand aan de linkerzijde. Tengevolge van eerder genoemde veranderingen rond het orgel is dit nu niet meer mogelijk en moet men voor het stemmen door een klein luik boven de klaviatuur, over het registermechaniek heen reikend, het stempad trachten te bereiken. Tegen de linker zijwand staan sinds 1973 C-d</w:t>
      </w:r>
      <w:r>
        <w:rPr>
          <w:vertAlign w:val="superscript"/>
          <w:lang w:val="nl-NL"/>
        </w:rPr>
        <w:t>1</w:t>
      </w:r>
      <w:r>
        <w:rPr>
          <w:lang w:val="nl-NL"/>
        </w:rPr>
        <w:t xml:space="preserve"> van de Bourdon 16'. De laden zijn van eiken, stokken en roosters zijn van mahonie. Beide manuaalladen hebben drie opliggende voorslagen. De cancelvolgorde van de HW-lade is: f</w:t>
      </w:r>
      <w:r>
        <w:rPr>
          <w:vertAlign w:val="superscript"/>
          <w:lang w:val="nl-NL"/>
        </w:rPr>
        <w:t>3</w:t>
      </w:r>
      <w:r>
        <w:rPr>
          <w:lang w:val="nl-NL"/>
        </w:rPr>
        <w:t xml:space="preserve"> (chromatisch) c</w:t>
      </w:r>
      <w:r>
        <w:rPr>
          <w:vertAlign w:val="superscript"/>
          <w:lang w:val="nl-NL"/>
        </w:rPr>
        <w:t>2</w:t>
      </w:r>
      <w:r>
        <w:rPr>
          <w:lang w:val="nl-NL"/>
        </w:rPr>
        <w:t xml:space="preserve"> h</w:t>
      </w:r>
      <w:r>
        <w:rPr>
          <w:vertAlign w:val="superscript"/>
          <w:lang w:val="nl-NL"/>
        </w:rPr>
        <w:t>1</w:t>
      </w:r>
      <w:r>
        <w:rPr>
          <w:lang w:val="nl-NL"/>
        </w:rPr>
        <w:t xml:space="preserve"> (hele tonen) Cis C (hele tonen) b</w:t>
      </w:r>
      <w:r>
        <w:rPr>
          <w:vertAlign w:val="superscript"/>
          <w:lang w:val="nl-NL"/>
        </w:rPr>
        <w:t>1</w:t>
      </w:r>
      <w:r>
        <w:rPr>
          <w:lang w:val="nl-NL"/>
        </w:rPr>
        <w:t>. De cancelvolgorde van de NW-lade is in hele tonen aflopend vanuit het midden naar beide uiteinden.</w:t>
      </w:r>
    </w:p>
    <w:p>
      <w:pPr>
        <w:pStyle w:val="T1"/>
        <w:jc w:val="start"/>
        <w:rPr/>
      </w:pPr>
      <w:r>
        <w:rPr>
          <w:lang w:val="nl-NL"/>
        </w:rPr>
        <w:t>De houten pijpen (C-h Bourdon 16', C-H Holpijp 8', C-H Roerfluit 8' en C-Fis Salicionaal 8') zijn van Amerikaans grenen. De Viola 8' HW is van C-H gecombineerd met de Holpijp; de Eoline 8' NW is van C-H gecombineerd met de Roerfluit. De Fluit 4' HW is gedekt, het hoogste octaaf is open, conisch. De Cornet is op de lade geplaatst. Van het vier-voets koor heeft het eengestreept octaaf gedekte pijpen. De Salicionaal 8' NW heeft nieuwe open houten pijpen voor C-Fis, vanaf G zijn de in 1973 ingekorte corpora in 1999 weer verlengd. De Eoline is zeer eng van mensuur, tot en met f</w:t>
      </w:r>
      <w:r>
        <w:rPr>
          <w:vertAlign w:val="superscript"/>
          <w:lang w:val="nl-NL"/>
        </w:rPr>
        <w:t>3</w:t>
      </w:r>
      <w:r>
        <w:rPr>
          <w:lang w:val="nl-NL"/>
        </w:rPr>
        <w:t xml:space="preserve"> zijn rolbaardjes toegepast. De metalen pijpen van de Roerfluit hebben inwendige roeren. De Fluit Travers 4' heeft gedekte pijpen voor C-e, het vervolg is open, flauw conisch. De Woudfluit 2' is open, cilindrisch.</w:t>
      </w:r>
    </w:p>
    <w:p>
      <w:pPr>
        <w:pStyle w:val="T1"/>
        <w:jc w:val="start"/>
        <w:rPr>
          <w:lang w:val="nl-NL"/>
        </w:rPr>
      </w:pPr>
      <w:r>
        <w:rPr>
          <w:lang w:val="nl-NL"/>
        </w:rPr>
        <w:t>De Trompet 8' is een tongwerk naar zuidelijke traditie met metalen stevels, overkragende loden koppen in de bas, en in de stevel vallende kop met ring in de discant. De bekers zijn van metaal, het hoogste octaaf met dubbele lengte.</w:t>
      </w:r>
    </w:p>
    <w:p>
      <w:pPr>
        <w:pStyle w:val="T1"/>
        <w:jc w:val="start"/>
        <w:rPr/>
      </w:pPr>
      <w:r>
        <w:rPr>
          <w:lang w:val="nl-NL"/>
        </w:rPr>
        <w:t>Het binnenpijpwerk is vrijwel geheel voorzien van spits geritste labia. Expressions zijn toegepast bij alle pijpen van Prestant, Viola, Salicionaal en Eoline, voorts bij de Octaaf 4' (C-h</w:t>
      </w:r>
      <w:r>
        <w:rPr>
          <w:vertAlign w:val="superscript"/>
          <w:lang w:val="nl-NL"/>
        </w:rPr>
        <w:t>1</w:t>
      </w:r>
      <w:r>
        <w:rPr>
          <w:lang w:val="nl-NL"/>
        </w:rPr>
        <w:t>), de Octaaf 2' (C-g</w:t>
      </w:r>
      <w:r>
        <w:rPr>
          <w:vertAlign w:val="superscript"/>
          <w:lang w:val="nl-NL"/>
        </w:rPr>
        <w:t>1</w:t>
      </w:r>
      <w:r>
        <w:rPr>
          <w:lang w:val="nl-NL"/>
        </w:rPr>
        <w:t>), de Fluit Travers (f-h) en de Woudfluit 2' (C-g</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2008-03-06T19:51:00Z</dcterms:created>
  <dc:creator>WS1</dc:creator>
  <dc:description/>
  <dc:language>en-US</dc:language>
  <cp:lastModifiedBy>NIvO</cp:lastModifiedBy>
  <dcterms:modified xsi:type="dcterms:W3CDTF">2009-09-28T15:53:00Z</dcterms:modified>
  <cp:revision>14</cp:revision>
  <dc:subject/>
  <dc:title>Olst / 1880</dc:title>
</cp:coreProperties>
</file>