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Hei- en Boeicop / 1909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klokkentorentje op het kerkdak. De kerk is gesticht rond 1300 en in de 15e en 16e eeuw uitgebreid. Het overgebleven onderste deel van de oorspronkelijke toren maakt deel uit van de kerkruimte. In de 19e eeuw verving men de laatgotische koorsluiting door een rechte muur. Preekstoel uit tweede kwart 17e eeuw.</w:t>
      </w:r>
    </w:p>
    <w:p>
      <w:pPr>
        <w:pStyle w:val="T1"/>
        <w:jc w:val="start"/>
        <w:rPr>
          <w:i/>
          <w:i/>
          <w:iCs/>
          <w:lang w:val="nl-NL"/>
        </w:rPr>
      </w:pPr>
      <w:r>
        <w:rPr>
          <w:i/>
          <w:iCs/>
          <w:lang w:val="nl-NL"/>
        </w:rPr>
      </w:r>
    </w:p>
    <w:p>
      <w:pPr>
        <w:pStyle w:val="T1"/>
        <w:jc w:val="start"/>
        <w:rPr>
          <w:lang w:val="nl-NL"/>
        </w:rPr>
      </w:pPr>
      <w:r>
        <w:rPr>
          <w:lang w:val="nl-NL"/>
        </w:rPr>
        <w:t>Kas: 1909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variant van het door Proper meerdere malen gebruikte vijfdelige ‘catalogusfront’ met ongedeelde tussenvelden (vergelijk Nieuwleusen, Hervormde Evangelisatie 1896, Colijnsplaat 1903, Hoedekenskerke 1904, Baambrugge 1904). De middentoren is nu breder geworden (met zeven pijpen in tegenstelling tot eerder genoemde orgels met elk vijf pijpen). De onderblinderingen van de tussenvelden zullen bij de overplaatsing in 1979 zijn verdwenen. Bij dezelfde operatie is het orgel, dat oorspronkelijk in een balustrade was geplaatst, van een hoge onderkas voorzien. </w:t>
      </w:r>
      <w:r>
        <w:rPr/>
        <w:t xml:space="preserve">Als torenbekroningen de bekende koepels en obelisken. </w:t>
      </w:r>
      <w:r>
        <w:rPr>
          <w:lang w:val="nl-NL"/>
        </w:rPr>
        <w:t>De vleugelstukken zijn vergelijkbaar met die aan bijvoorbeeld het orgel te IJhorst (1903).</w:t>
      </w:r>
    </w:p>
    <w:p>
      <w:pPr>
        <w:pStyle w:val="T2Kunst"/>
        <w:jc w:val="start"/>
        <w:rPr>
          <w:lang w:val="nl-NL"/>
        </w:rPr>
      </w:pPr>
      <w:r>
        <w:rPr>
          <w:lang w:val="nl-NL"/>
        </w:rPr>
      </w:r>
    </w:p>
    <w:p>
      <w:pPr>
        <w:pStyle w:val="T3Lit"/>
        <w:rPr>
          <w:b/>
          <w:b/>
          <w:bCs/>
          <w:lang w:val="nl-NL"/>
        </w:rPr>
      </w:pPr>
      <w:r>
        <w:rPr>
          <w:b/>
          <w:bCs/>
          <w:lang w:val="nl-NL"/>
        </w:rPr>
        <w:t>Literatuur</w:t>
      </w:r>
    </w:p>
    <w:p>
      <w:pPr>
        <w:pStyle w:val="T3Lit"/>
        <w:rPr>
          <w:lang w:val="nl-NL"/>
        </w:rPr>
      </w:pPr>
      <w:r>
        <w:rPr>
          <w:i/>
          <w:lang w:val="nl-NL"/>
        </w:rPr>
        <w:t>Officiële ingebruikneming van het nieuwe orgel in de Ned. Herv. Kerk te Hei- en Boeicop op donderdag 5 juli 1979 om 20.00 uur.</w:t>
      </w:r>
    </w:p>
    <w:p>
      <w:pPr>
        <w:pStyle w:val="T3Lit"/>
        <w:rPr/>
      </w:pPr>
      <w:r>
        <w:rPr>
          <w:lang w:val="nl-NL"/>
        </w:rPr>
        <w:t>‘</w:t>
      </w:r>
      <w:r>
        <w:rPr>
          <w:lang w:val="nl-NL"/>
        </w:rPr>
        <w:t xml:space="preserve">Orgel in de Ned. Herv. Kerk te Hei- en Boeicop’, </w:t>
      </w:r>
      <w:r>
        <w:rPr>
          <w:i/>
          <w:iCs/>
          <w:lang w:val="nl-NL"/>
        </w:rPr>
        <w:t>Orgelklanken uit de Alblasserwaard</w:t>
      </w:r>
      <w:r>
        <w:rPr>
          <w:lang w:val="nl-NL"/>
        </w:rPr>
        <w:t>, nr. 18, 1995.</w:t>
      </w:r>
    </w:p>
    <w:p>
      <w:pPr>
        <w:pStyle w:val="T3Lit"/>
        <w:jc w:val="start"/>
        <w:rPr/>
      </w:pPr>
      <w:r>
        <w:rPr>
          <w:i/>
          <w:lang w:val="nl-NL"/>
        </w:rPr>
        <w:t>De Orgelvriend</w:t>
      </w:r>
      <w:r>
        <w:rPr>
          <w:lang w:val="nl-NL"/>
        </w:rPr>
        <w:t>, 22/10 (1980), 6.</w:t>
      </w:r>
    </w:p>
    <w:p>
      <w:pPr>
        <w:pStyle w:val="T3Lit"/>
        <w:jc w:val="start"/>
        <w:rPr/>
      </w:pPr>
      <w:r>
        <w:rPr>
          <w:bCs/>
          <w:lang w:val="nl-NL"/>
        </w:rPr>
        <w:t xml:space="preserve">R. Walsma, </w:t>
      </w:r>
      <w:r>
        <w:rPr>
          <w:bCs/>
          <w:i/>
          <w:iCs/>
          <w:lang w:val="nl-NL"/>
        </w:rPr>
        <w:t>Herziene en uitgebreide werklijst Properorgels</w:t>
      </w:r>
      <w:r>
        <w:rPr>
          <w:bCs/>
          <w:lang w:val="nl-NL"/>
        </w:rPr>
        <w:t>. Leeuwarden, 2005, 9.</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 25.</w:t>
      </w:r>
    </w:p>
    <w:p>
      <w:pPr>
        <w:pStyle w:val="T3Lit"/>
        <w:jc w:val="start"/>
        <w:rPr>
          <w:bCs/>
          <w:lang w:val="nl-NL"/>
        </w:rPr>
      </w:pPr>
      <w:r>
        <w:rPr>
          <w:bCs/>
          <w:lang w:val="nl-NL"/>
        </w:rPr>
      </w:r>
    </w:p>
    <w:p>
      <w:pPr>
        <w:pStyle w:val="T3Lit"/>
        <w:rPr>
          <w:rFonts w:eastAsia="Arial Unicode MS"/>
          <w:b/>
          <w:b/>
          <w:bCs/>
          <w:lang w:val="nl-NL"/>
        </w:rPr>
      </w:pPr>
      <w:r>
        <w:rPr>
          <w:b/>
          <w:bCs/>
          <w:lang w:val="nl-NL"/>
        </w:rPr>
        <w:t>Niet gepubliceerde bron</w:t>
      </w:r>
    </w:p>
    <w:p>
      <w:pPr>
        <w:pStyle w:val="T3Lit"/>
        <w:rPr/>
      </w:pPr>
      <w:r>
        <w:rPr/>
        <w:t>SKKN, dossier Hei en Boeicop NHK, inventarisrapport 2002.</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E.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1. 1909</w:t>
      </w:r>
    </w:p>
    <w:p>
      <w:pPr>
        <w:pStyle w:val="T1"/>
        <w:rPr>
          <w:lang w:val="nl-NL"/>
        </w:rPr>
      </w:pPr>
      <w:r>
        <w:rPr>
          <w:lang w:val="nl-NL"/>
        </w:rPr>
        <w:t>2. 1979</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Nieuw-Beijerland, Hervormde Kerk</w:t>
      </w:r>
    </w:p>
    <w:p>
      <w:pPr>
        <w:pStyle w:val="T1"/>
        <w:rPr>
          <w:lang w:val="nl-NL"/>
        </w:rPr>
      </w:pPr>
      <w:r>
        <w:rPr>
          <w:lang w:val="nl-NL"/>
        </w:rPr>
      </w:r>
    </w:p>
    <w:p>
      <w:pPr>
        <w:pStyle w:val="T4dispositie"/>
        <w:rPr>
          <w:sz w:val="24"/>
          <w:szCs w:val="24"/>
          <w:lang w:val="nl-NL"/>
        </w:rPr>
      </w:pPr>
      <w:r>
        <w:rPr>
          <w:sz w:val="24"/>
          <w:szCs w:val="24"/>
          <w:lang w:val="nl-NL"/>
        </w:rPr>
        <w:t>1962</w:t>
      </w:r>
    </w:p>
    <w:p>
      <w:pPr>
        <w:pStyle w:val="T4dispositie"/>
        <w:numPr>
          <w:ilvl w:val="0"/>
          <w:numId w:val="2"/>
        </w:numPr>
        <w:rPr>
          <w:sz w:val="24"/>
          <w:szCs w:val="24"/>
          <w:lang w:val="nl-NL"/>
        </w:rPr>
      </w:pPr>
      <w:r>
        <w:rPr>
          <w:sz w:val="24"/>
          <w:szCs w:val="24"/>
          <w:lang w:val="nl-NL"/>
        </w:rPr>
        <w:t>orgel buiten gebruik gesteld</w:t>
      </w:r>
    </w:p>
    <w:p>
      <w:pPr>
        <w:pStyle w:val="T4dispositie"/>
        <w:rPr>
          <w:sz w:val="24"/>
          <w:szCs w:val="24"/>
          <w:lang w:val="nl-NL"/>
        </w:rPr>
      </w:pPr>
      <w:r>
        <w:rPr>
          <w:sz w:val="24"/>
          <w:szCs w:val="24"/>
          <w:lang w:val="nl-NL"/>
        </w:rPr>
      </w:r>
    </w:p>
    <w:p>
      <w:pPr>
        <w:pStyle w:val="T4dispositie"/>
        <w:rPr>
          <w:sz w:val="24"/>
          <w:szCs w:val="24"/>
          <w:lang w:val="nl-NL"/>
        </w:rPr>
      </w:pPr>
      <w:r>
        <w:rPr>
          <w:sz w:val="24"/>
          <w:szCs w:val="24"/>
          <w:lang w:val="nl-NL"/>
        </w:rPr>
        <w:t>E. Verschueren 1977</w:t>
      </w:r>
    </w:p>
    <w:p>
      <w:pPr>
        <w:pStyle w:val="T4dispositie"/>
        <w:numPr>
          <w:ilvl w:val="0"/>
          <w:numId w:val="2"/>
        </w:numPr>
        <w:rPr>
          <w:sz w:val="24"/>
          <w:szCs w:val="24"/>
          <w:lang w:val="nl-NL"/>
        </w:rPr>
      </w:pPr>
      <w:r>
        <w:rPr>
          <w:sz w:val="24"/>
          <w:szCs w:val="24"/>
          <w:lang w:val="nl-NL"/>
        </w:rPr>
        <w:t>ander orgel geplaatst (deel 1840-1849, 55-56); oude orgel ingenomen</w:t>
      </w:r>
    </w:p>
    <w:p>
      <w:pPr>
        <w:pStyle w:val="T4dispositie"/>
        <w:rPr>
          <w:sz w:val="24"/>
          <w:szCs w:val="24"/>
          <w:lang w:val="nl-NL"/>
        </w:rPr>
      </w:pPr>
      <w:r>
        <w:rPr>
          <w:sz w:val="24"/>
          <w:szCs w:val="24"/>
          <w:lang w:val="nl-NL"/>
        </w:rPr>
      </w:r>
    </w:p>
    <w:p>
      <w:pPr>
        <w:pStyle w:val="T4dispositie"/>
        <w:rPr>
          <w:sz w:val="24"/>
          <w:szCs w:val="24"/>
          <w:lang w:val="nl-NL"/>
        </w:rPr>
      </w:pPr>
      <w:r>
        <w:rPr>
          <w:sz w:val="24"/>
          <w:szCs w:val="24"/>
          <w:lang w:val="nl-NL"/>
        </w:rPr>
        <w:t>E. Verschueren 1979</w:t>
      </w:r>
    </w:p>
    <w:p>
      <w:pPr>
        <w:pStyle w:val="T4dispositie"/>
        <w:numPr>
          <w:ilvl w:val="0"/>
          <w:numId w:val="3"/>
        </w:numPr>
        <w:rPr>
          <w:sz w:val="24"/>
          <w:szCs w:val="24"/>
          <w:lang w:val="nl-NL"/>
        </w:rPr>
      </w:pPr>
      <w:r>
        <w:rPr>
          <w:sz w:val="24"/>
          <w:szCs w:val="24"/>
          <w:lang w:val="nl-NL"/>
        </w:rPr>
        <w:t>front gebruikt voor nieuw orgel Hei- en Boeicop, Hervormde Kerk</w:t>
      </w:r>
    </w:p>
    <w:p>
      <w:pPr>
        <w:pStyle w:val="T4dispositie"/>
        <w:rPr>
          <w:sz w:val="24"/>
          <w:szCs w:val="24"/>
          <w:lang w:val="nl-NL"/>
        </w:rPr>
      </w:pPr>
      <w:r>
        <w:rPr>
          <w:sz w:val="24"/>
          <w:szCs w:val="24"/>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1440" w:type="dxa"/>
            <w:tcBorders/>
          </w:tcPr>
          <w:p>
            <w:pPr>
              <w:pStyle w:val="T4dispositie"/>
              <w:rPr>
                <w:i/>
                <w:i/>
                <w:iCs/>
                <w:lang w:val="nl-NL"/>
              </w:rPr>
            </w:pPr>
            <w:r>
              <w:rPr>
                <w:i/>
                <w:iCs/>
                <w:lang w:val="nl-NL"/>
              </w:rPr>
              <w:t>Nevenwerk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Woudfluit</w:t>
            </w:r>
          </w:p>
          <w:p>
            <w:pPr>
              <w:pStyle w:val="T4dispositie"/>
              <w:rPr>
                <w:lang w:val="nl-NL"/>
              </w:rPr>
            </w:pPr>
            <w:r>
              <w:rPr>
                <w:lang w:val="nl-NL"/>
              </w:rPr>
              <w:t>Terts</w:t>
            </w:r>
          </w:p>
          <w:p>
            <w:pPr>
              <w:pStyle w:val="T4dispositie"/>
              <w:rPr>
                <w:lang w:val="nl-NL"/>
              </w:rPr>
            </w:pPr>
            <w:r>
              <w:rPr>
                <w:lang w:val="nl-NL"/>
              </w:rPr>
              <w:t>Dulciaan</w:t>
            </w:r>
          </w:p>
        </w:tc>
        <w:tc>
          <w:tcPr>
            <w:tcW w:w="68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473" w:type="dxa"/>
            <w:tcBorders/>
          </w:tcPr>
          <w:p>
            <w:pPr>
              <w:pStyle w:val="T4dispositie"/>
              <w:rPr>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Fagot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(uitgevoerd als treden) HW-NW, Ped-HW, Ped-NW</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w:t>
      </w:r>
    </w:p>
    <w:tbl>
      <w:tblPr>
        <w:tblW w:w="4528" w:type="dxa"/>
        <w:jc w:val="start"/>
        <w:tblInd w:w="-70" w:type="dxa"/>
        <w:tblLayout w:type="fixed"/>
        <w:tblCellMar>
          <w:top w:w="0" w:type="dxa"/>
          <w:start w:w="70" w:type="dxa"/>
          <w:bottom w:w="0" w:type="dxa"/>
          <w:end w:w="70" w:type="dxa"/>
        </w:tblCellMar>
      </w:tblPr>
      <w:tblGrid>
        <w:gridCol w:w="1645"/>
        <w:gridCol w:w="718"/>
        <w:gridCol w:w="718"/>
        <w:gridCol w:w="718"/>
        <w:gridCol w:w="729"/>
      </w:tblGrid>
      <w:tr>
        <w:trPr/>
        <w:tc>
          <w:tcPr>
            <w:tcW w:w="1645"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originele stijl-, regel- en paneelwerk van de kas is uitgevoerd in naaldhout; enige panelen zijn van plaatmateriaal. De ondertoetsen van de handklavieren zijn voorzien van kunststof beleg, de boventoetsen zijn van ebben. Het pedaalklavier is van eiken, evenals de geprofileerde bakstukken en de registertrekkers. De registerplaatjes zijn uitgevoerd in leer en bedrukt met een gouden letter.</w:t>
      </w:r>
    </w:p>
    <w:p>
      <w:pPr>
        <w:pStyle w:val="T1"/>
        <w:jc w:val="start"/>
        <w:rPr>
          <w:lang w:val="nl-NL"/>
        </w:rPr>
      </w:pPr>
      <w:r>
        <w:rPr>
          <w:lang w:val="nl-NL"/>
        </w:rPr>
        <w:t>Op de galerijvloer staan onderin de kas de windlade van het Ped opgesteld en de windmotor. De magazijnbalg (zonder regelgordijn) bevindt zich vlak onder de HW-lade die ter hoogte van het front is gesitueerd. De lade van het NW ligt achter die van het HW, daarvan gescheiden door een zeer smalle stemgang. Alle laden hebben een pijpopstelling in C- en Ciszijde met de grootste pijpen in het midden. De mechanische sleepladen zijn van verschillende factuur wat betreft de houtsoorten en voor een deel van eiken fineer voorzien.</w:t>
      </w:r>
    </w:p>
    <w:p>
      <w:pPr>
        <w:pStyle w:val="T1"/>
        <w:jc w:val="start"/>
        <w:rPr>
          <w:lang w:val="nl-NL"/>
        </w:rPr>
      </w:pPr>
      <w:r>
        <w:rPr>
          <w:lang w:val="nl-NL"/>
        </w:rPr>
        <w:t>De mechanische register- en toetstractuur zijn toegeleverd fabrieksfactuur. Alle wellen zijn van aluminium, evenals veel delen in de speeltafelmechaniek.</w:t>
      </w:r>
    </w:p>
    <w:p>
      <w:pPr>
        <w:pStyle w:val="T1"/>
        <w:jc w:val="start"/>
        <w:rPr/>
      </w:pPr>
      <w:r>
        <w:rPr>
          <w:lang w:val="nl-NL"/>
        </w:rPr>
        <w:t>De frontpijpen zijn alle sprekend en behoren tot de Prestant 8'; g</w:t>
      </w:r>
      <w:r>
        <w:rPr>
          <w:vertAlign w:val="superscript"/>
          <w:lang w:val="nl-NL"/>
        </w:rPr>
        <w:t>1</w:t>
      </w:r>
      <w:r>
        <w:rPr>
          <w:lang w:val="nl-NL"/>
        </w:rPr>
        <w:t>-g</w:t>
      </w:r>
      <w:r>
        <w:rPr>
          <w:vertAlign w:val="superscript"/>
          <w:lang w:val="nl-NL"/>
        </w:rPr>
        <w:t>3</w:t>
      </w:r>
      <w:r>
        <w:rPr>
          <w:lang w:val="nl-NL"/>
        </w:rPr>
        <w:t xml:space="preserve"> staan op de eerste sleep van de lade, direct achter het front. Achtereenvolgens komen vanaf het front: Octaaf 4', Roerfluit 8', Fluit 4', Octaaf 2', Mixtuur en Trompet 8'. De prestantregisters zijn tot 1/2' lengte voorzien van stemkrullen, het pijpwerk van de Mixtuur tot 1/3' lengte. C-H van de Roerfluit zijn van hout, opgesteld achter de middentoren, de overige pijpen zijn van metaal en hebben inwendige roeren. De Fluit 4' is conisch en van zeer wijde mensuur. De Trompet heeft een Franse factuur en stemkrukken, metalen stevels en koppen en vanaf c</w:t>
      </w:r>
      <w:r>
        <w:rPr>
          <w:vertAlign w:val="superscript"/>
          <w:lang w:val="nl-NL"/>
        </w:rPr>
        <w:t>3</w:t>
      </w:r>
      <w:r>
        <w:rPr>
          <w:lang w:val="nl-NL"/>
        </w:rPr>
        <w:t xml:space="preserve"> dubbele bekerlengte.</w:t>
      </w:r>
    </w:p>
    <w:p>
      <w:pPr>
        <w:pStyle w:val="T1"/>
        <w:jc w:val="start"/>
        <w:rPr/>
      </w:pPr>
      <w:r>
        <w:rPr>
          <w:lang w:val="nl-NL"/>
        </w:rPr>
        <w:t>De registervolgorde op de lade van het NW is vanaf de frontzijde: Holpijp 8', Prestant 4', Roerfluit 4', Woudfluit 2' (conisch), Quint 2 2/3', Terts 1 3/5' en Dulciaan 8'. De cilindrische Quint begint op C als 1 1/3' en is op c 2 2/3'. De eveneens cilindrische Terts begint op C als 4/5' en is vanaf c 1 3/5'. De Dulciaan heeft metalen stevels en koppen, Duitse stemkrukken en cilindrische bekers met deksels, vanaf c</w:t>
      </w:r>
      <w:r>
        <w:rPr>
          <w:vertAlign w:val="superscript"/>
          <w:lang w:val="nl-NL"/>
        </w:rPr>
        <w:t>3</w:t>
      </w:r>
      <w:r>
        <w:rPr>
          <w:lang w:val="nl-NL"/>
        </w:rPr>
        <w:t xml:space="preserve"> is het register labiaal.</w:t>
      </w:r>
    </w:p>
    <w:p>
      <w:pPr>
        <w:pStyle w:val="T1"/>
        <w:jc w:val="start"/>
        <w:rPr>
          <w:lang w:val="nl-NL"/>
        </w:rPr>
      </w:pPr>
      <w:r>
        <w:rPr>
          <w:lang w:val="nl-NL"/>
        </w:rPr>
        <w:t>De pedaalregisters Subbas 16' en Gedekt 8' zijn ontleend aan een rij van 30 houten gedekte en 12 metalen gedekte pijpen. De Fagot 16' heeft vierkante houten stevels met membraan en metalen trechtervormige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DejaVu Sans;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2008-03-07T18:14:00Z</dcterms:created>
  <dc:creator>WS1</dc:creator>
  <dc:description/>
  <dc:language>en-US</dc:language>
  <cp:lastModifiedBy>NIvO</cp:lastModifiedBy>
  <dcterms:modified xsi:type="dcterms:W3CDTF">2009-09-29T14:15:00Z</dcterms:modified>
  <cp:revision>15</cp:revision>
  <dc:subject/>
  <dc:title>Gaast / 1860</dc:title>
</cp:coreProperties>
</file>