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Hilversum / 1910</w:t>
      </w:r>
    </w:p>
    <w:p>
      <w:pPr>
        <w:pStyle w:val="Heading2"/>
        <w:rPr>
          <w:i w:val="false"/>
          <w:i w:val="false"/>
          <w:iCs/>
        </w:rPr>
      </w:pPr>
      <w:r>
        <w:rPr>
          <w:i w:val="false"/>
          <w:iCs/>
        </w:rPr>
        <w:t>R.K. H. Hartkerk</w:t>
      </w:r>
    </w:p>
    <w:p>
      <w:pPr>
        <w:pStyle w:val="T1"/>
        <w:jc w:val="start"/>
        <w:rPr>
          <w:i/>
          <w:i/>
          <w:iCs/>
          <w:lang w:val="nl-NL"/>
        </w:rPr>
      </w:pPr>
      <w:r>
        <w:rPr>
          <w:i/>
          <w:iCs/>
          <w:lang w:val="nl-NL"/>
        </w:rPr>
      </w:r>
    </w:p>
    <w:p>
      <w:pPr>
        <w:pStyle w:val="T1"/>
        <w:jc w:val="start"/>
        <w:rPr/>
      </w:pPr>
      <w:r>
        <w:rPr>
          <w:i/>
          <w:lang w:val="nl-NL"/>
        </w:rPr>
        <w:t xml:space="preserve">Kerkgebouw uit 1928 naar ontwerp van H.W. Valk. </w:t>
      </w:r>
      <w:r>
        <w:rPr>
          <w:i/>
        </w:rPr>
        <w:t xml:space="preserve">Het wijde, met baksteen overkluisde langschip wordt geflankeerd door twee zijbeuken; de verdiepte zijnissen daarvan suggereren een vierde en vijfde beuk. Twee forse kapellen flankeren het veelhoekig gesloten koor. Het interieur is geheel opgetrokken in schoonmetselwerk. </w:t>
      </w:r>
      <w:r>
        <w:rPr>
          <w:i/>
          <w:lang w:val="nl-NL"/>
        </w:rPr>
        <w:t xml:space="preserve">Karakteristiek zijn de gebeeldhouwde apostelkoppen Jozef Cantré en de geschilderde kruiswegstatie van Lodewijk Schelfhout. De glas-in-lood ramen zijn van Joep Nicolas. </w:t>
      </w:r>
      <w:r>
        <w:rPr>
          <w:i/>
        </w:rPr>
        <w:t>De robuuste relatief lage toren wordt bekroond met een imposante spits.</w:t>
      </w:r>
    </w:p>
    <w:p>
      <w:pPr>
        <w:pStyle w:val="T1"/>
        <w:jc w:val="start"/>
        <w:rPr>
          <w:i/>
          <w:i/>
        </w:rPr>
      </w:pPr>
      <w:r>
        <w:rPr>
          <w:i/>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zeer eenvoudig front, dat uit zeven delen bestaat. In het midden van de kas zien een deel met drie pijpvelden waar het aantal pijpen getalsmatig logisch gekozen is. De velden naast het midden hebben ieder zeven pijpen, het veld in het midden heeft er tweemaal zeven plus één. De labia zijn in een V-vorm gezet. Aan weerszijde van de drie middelste pijpvelden liggen dieper gelegen frontdelen die als zwelkast fungeren. Versiering is niet aangebracht. Wat wel fraai is, is hoe de kas, de speeltafel en het lijstwerk in dezelfde stijl zijn uitgevoerd. </w:t>
      </w:r>
      <w:r>
        <w:rPr>
          <w:lang w:val="nl-NL"/>
        </w:rPr>
        <w:t>Het orgel oogt misschien wat gedrongen, maar men moet zich bedenken dat het oorspronkelijk om een orgel in particulier bezit gaat, dat werd begrenst door een laag plafond.</w:t>
      </w:r>
    </w:p>
    <w:p>
      <w:pPr>
        <w:pStyle w:val="T2Kunst"/>
        <w:jc w:val="start"/>
        <w:rPr>
          <w:lang w:val="nl-NL"/>
        </w:rPr>
      </w:pPr>
      <w:r>
        <w:rPr>
          <w:lang w:val="nl-NL"/>
        </w:rPr>
      </w:r>
    </w:p>
    <w:p>
      <w:pPr>
        <w:pStyle w:val="T3Lit"/>
        <w:rPr>
          <w:b/>
          <w:b/>
          <w:bCs/>
          <w:lang w:val="nl-NL"/>
        </w:rPr>
      </w:pPr>
      <w:r>
        <w:rPr>
          <w:b/>
          <w:bCs/>
          <w:lang w:val="nl-NL"/>
        </w:rPr>
        <w:t>Literatuur</w:t>
      </w:r>
    </w:p>
    <w:p>
      <w:pPr>
        <w:pStyle w:val="T3Lit"/>
        <w:rPr>
          <w:lang w:val="nl-NL"/>
        </w:rPr>
      </w:pPr>
      <w:r>
        <w:rPr>
          <w:lang w:val="nl-NL"/>
        </w:rPr>
        <w:t>De Orgelkrant, 4/5 (1999), ..; 4/7-8 (1999), 7.</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Ton van Eck.</w:t>
      </w:r>
    </w:p>
    <w:p>
      <w:pPr>
        <w:pStyle w:val="T3Lit"/>
        <w:rPr>
          <w:lang w:val="nl-NL"/>
        </w:rPr>
      </w:pPr>
      <w:r>
        <w:rPr>
          <w:lang w:val="nl-NL"/>
        </w:rPr>
      </w:r>
    </w:p>
    <w:p>
      <w:pPr>
        <w:pStyle w:val="T3Lit"/>
        <w:rPr>
          <w:lang w:val="nl-NL"/>
        </w:rPr>
      </w:pPr>
      <w:r>
        <w:rPr>
          <w:lang w:val="nl-NL"/>
        </w:rPr>
        <w:t>Orgelnummer 689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Ch. Mutin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(particulier bezit)</w:t>
      </w:r>
    </w:p>
    <w:p>
      <w:pPr>
        <w:pStyle w:val="T1"/>
        <w:jc w:val="start"/>
        <w:rPr>
          <w:lang w:val="nl-NL"/>
        </w:rPr>
      </w:pPr>
      <w:r>
        <w:rPr>
          <w:lang w:val="nl-NL"/>
        </w:rPr>
      </w:r>
    </w:p>
    <w:p>
      <w:pPr>
        <w:pStyle w:val="T1"/>
        <w:jc w:val="start"/>
        <w:rPr>
          <w:lang w:val="nl-NL"/>
        </w:rPr>
      </w:pPr>
      <w:r>
        <w:rPr>
          <w:lang w:val="nl-NL"/>
        </w:rPr>
        <w:t>J. Adema 1940</w:t>
      </w:r>
    </w:p>
    <w:p>
      <w:pPr>
        <w:pStyle w:val="T1"/>
        <w:numPr>
          <w:ilvl w:val="0"/>
          <w:numId w:val="2"/>
        </w:numPr>
        <w:jc w:val="start"/>
        <w:rPr>
          <w:lang w:val="nl-NL"/>
        </w:rPr>
      </w:pPr>
      <w:r>
        <w:rPr>
          <w:lang w:val="nl-NL"/>
        </w:rPr>
        <w:t>orgel geplaatst te Hilversum, R.K. St-Josephkerk</w:t>
      </w:r>
    </w:p>
    <w:p>
      <w:pPr>
        <w:pStyle w:val="T1"/>
        <w:numPr>
          <w:ilvl w:val="0"/>
          <w:numId w:val="2"/>
        </w:numPr>
        <w:jc w:val="start"/>
        <w:rPr>
          <w:lang w:val="nl-NL"/>
        </w:rPr>
      </w:pPr>
      <w:r>
        <w:rPr>
          <w:lang w:val="nl-NL"/>
        </w:rPr>
        <w:t>orgelkas voorzien van dak</w:t>
      </w:r>
    </w:p>
    <w:p>
      <w:pPr>
        <w:pStyle w:val="T1"/>
        <w:numPr>
          <w:ilvl w:val="0"/>
          <w:numId w:val="2"/>
        </w:numPr>
        <w:jc w:val="start"/>
        <w:rPr>
          <w:lang w:val="nl-NL"/>
        </w:rPr>
      </w:pPr>
      <w:r>
        <w:rPr>
          <w:lang w:val="nl-NL"/>
        </w:rPr>
        <w:t>één van de twee magazijnbalgen verwijderd</w:t>
      </w:r>
    </w:p>
    <w:p>
      <w:pPr>
        <w:pStyle w:val="T1"/>
        <w:numPr>
          <w:ilvl w:val="0"/>
          <w:numId w:val="2"/>
        </w:numPr>
        <w:jc w:val="start"/>
        <w:rPr>
          <w:lang w:val="nl-NL"/>
        </w:rPr>
      </w:pPr>
      <w:r>
        <w:rPr>
          <w:lang w:val="nl-NL"/>
        </w:rPr>
        <w:t>+ Fourniture 4-5 st. op aparte pneumatische kegellade</w:t>
      </w:r>
    </w:p>
    <w:p>
      <w:pPr>
        <w:pStyle w:val="T1"/>
        <w:jc w:val="start"/>
        <w:rPr>
          <w:lang w:val="nl-NL"/>
        </w:rPr>
      </w:pPr>
      <w:r>
        <w:rPr>
          <w:lang w:val="nl-NL"/>
        </w:rPr>
      </w:r>
    </w:p>
    <w:p>
      <w:pPr>
        <w:pStyle w:val="T1"/>
        <w:jc w:val="start"/>
        <w:rPr>
          <w:lang w:val="nl-NL"/>
        </w:rPr>
      </w:pPr>
      <w:r>
        <w:rPr>
          <w:lang w:val="nl-NL"/>
        </w:rPr>
        <w:t>J. Adema 1943</w:t>
      </w:r>
    </w:p>
    <w:p>
      <w:pPr>
        <w:pStyle w:val="T1"/>
        <w:numPr>
          <w:ilvl w:val="0"/>
          <w:numId w:val="3"/>
        </w:numPr>
        <w:jc w:val="start"/>
        <w:rPr>
          <w:lang w:val="nl-NL"/>
        </w:rPr>
      </w:pPr>
      <w:r>
        <w:rPr>
          <w:lang w:val="nl-NL"/>
        </w:rPr>
        <w:t>+ Cymbale 4-5 st. op aparte pneumatische kegellade</w:t>
      </w:r>
    </w:p>
    <w:p>
      <w:pPr>
        <w:pStyle w:val="T1"/>
        <w:jc w:val="start"/>
        <w:rPr>
          <w:lang w:val="nl-NL"/>
        </w:rPr>
      </w:pPr>
      <w:r>
        <w:rPr>
          <w:lang w:val="nl-NL"/>
        </w:rPr>
      </w:r>
    </w:p>
    <w:p>
      <w:pPr>
        <w:pStyle w:val="T1"/>
        <w:jc w:val="start"/>
        <w:rPr>
          <w:lang w:val="nl-NL"/>
        </w:rPr>
      </w:pPr>
      <w:r>
        <w:rPr>
          <w:lang w:val="nl-NL"/>
        </w:rPr>
        <w:t>1994</w:t>
      </w:r>
    </w:p>
    <w:p>
      <w:pPr>
        <w:pStyle w:val="T1"/>
        <w:numPr>
          <w:ilvl w:val="0"/>
          <w:numId w:val="3"/>
        </w:numPr>
        <w:jc w:val="start"/>
        <w:rPr>
          <w:lang w:val="nl-NL"/>
        </w:rPr>
      </w:pPr>
      <w:r>
        <w:rPr>
          <w:lang w:val="nl-NL"/>
        </w:rPr>
        <w:t>St-Josephkerk gesloten</w:t>
      </w:r>
    </w:p>
    <w:p>
      <w:pPr>
        <w:pStyle w:val="T1"/>
        <w:jc w:val="start"/>
        <w:rPr>
          <w:lang w:val="nl-NL"/>
        </w:rPr>
      </w:pPr>
      <w:r>
        <w:rPr>
          <w:lang w:val="nl-NL"/>
        </w:rPr>
      </w:r>
    </w:p>
    <w:p>
      <w:pPr>
        <w:pStyle w:val="T1"/>
        <w:jc w:val="start"/>
        <w:rPr>
          <w:lang w:val="nl-NL"/>
        </w:rPr>
      </w:pPr>
      <w:r>
        <w:rPr>
          <w:lang w:val="nl-NL"/>
        </w:rPr>
        <w:t>fa Adema-Schreurs 1999</w:t>
      </w:r>
    </w:p>
    <w:p>
      <w:pPr>
        <w:pStyle w:val="T1"/>
        <w:numPr>
          <w:ilvl w:val="0"/>
          <w:numId w:val="3"/>
        </w:numPr>
        <w:jc w:val="start"/>
        <w:rPr>
          <w:lang w:val="nl-NL"/>
        </w:rPr>
      </w:pPr>
      <w:r>
        <w:rPr>
          <w:lang w:val="nl-NL"/>
        </w:rPr>
        <w:t>orgel gerestaureerd en geplaatst te Hilversum, R.K. H. Hartkerk</w:t>
      </w:r>
    </w:p>
    <w:p>
      <w:pPr>
        <w:pStyle w:val="T1"/>
        <w:numPr>
          <w:ilvl w:val="0"/>
          <w:numId w:val="3"/>
        </w:numPr>
        <w:jc w:val="start"/>
        <w:rPr>
          <w:lang w:val="nl-NL"/>
        </w:rPr>
      </w:pPr>
      <w:r>
        <w:rPr>
          <w:lang w:val="nl-NL"/>
        </w:rPr>
        <w:t>achterwand orgelkas vernieuwd</w:t>
      </w:r>
    </w:p>
    <w:p>
      <w:pPr>
        <w:pStyle w:val="T1"/>
        <w:numPr>
          <w:ilvl w:val="0"/>
          <w:numId w:val="3"/>
        </w:numPr>
        <w:jc w:val="start"/>
        <w:rPr>
          <w:lang w:val="nl-NL"/>
        </w:rPr>
      </w:pPr>
      <w:r>
        <w:rPr>
          <w:lang w:val="nl-NL"/>
        </w:rPr>
        <w:t>pijpwerk, laden en pneumatiek Fourniture en Cymbale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pédale</w:t>
      </w:r>
    </w:p>
    <w:p>
      <w:pPr>
        <w:pStyle w:val="T1"/>
        <w:jc w:val="start"/>
        <w:rPr>
          <w:lang w:val="nl-NL"/>
        </w:rPr>
      </w:pPr>
      <w:r>
        <w:rPr>
          <w:lang w:val="nl-NL"/>
        </w:rPr>
      </w:r>
    </w:p>
    <w:p>
      <w:pPr>
        <w:pStyle w:val="T1"/>
        <w:jc w:val="start"/>
        <w:rPr/>
      </w:pPr>
      <w:r>
        <w:rPr/>
        <w:t>Dispositie</w:t>
      </w:r>
    </w:p>
    <w:tbl>
      <w:tblPr>
        <w:tblW w:w="7733" w:type="dxa"/>
        <w:jc w:val="start"/>
        <w:tblInd w:w="-70" w:type="dxa"/>
        <w:tblLayout w:type="fixed"/>
        <w:tblCellMar>
          <w:top w:w="0" w:type="dxa"/>
          <w:start w:w="70" w:type="dxa"/>
          <w:bottom w:w="0" w:type="dxa"/>
          <w:end w:w="70" w:type="dxa"/>
        </w:tblCellMar>
      </w:tblPr>
      <w:tblGrid>
        <w:gridCol w:w="1951"/>
        <w:gridCol w:w="480"/>
        <w:gridCol w:w="2446"/>
        <w:gridCol w:w="718"/>
        <w:gridCol w:w="1460"/>
        <w:gridCol w:w="678"/>
      </w:tblGrid>
      <w:tr>
        <w:trPr/>
        <w:tc>
          <w:tcPr>
            <w:tcW w:w="1951" w:type="dxa"/>
            <w:tcBorders/>
          </w:tcPr>
          <w:p>
            <w:pPr>
              <w:pStyle w:val="T4dispositie"/>
              <w:rPr>
                <w:i/>
                <w:i/>
                <w:iCs/>
                <w:lang w:val="nl-NL"/>
              </w:rPr>
            </w:pPr>
            <w:r>
              <w:rPr>
                <w:i/>
                <w:iCs/>
                <w:lang w:val="nl-NL"/>
              </w:rPr>
              <w:t>Grand Orgue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Flûte Harmonique</w:t>
            </w:r>
          </w:p>
          <w:p>
            <w:pPr>
              <w:pStyle w:val="T4dispositie"/>
              <w:rPr>
                <w:lang w:val="nl-NL"/>
              </w:rPr>
            </w:pPr>
            <w:r>
              <w:rPr>
                <w:lang w:val="nl-NL"/>
              </w:rPr>
              <w:t>Prestant</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tc>
        <w:tc>
          <w:tcPr>
            <w:tcW w:w="2446" w:type="dxa"/>
            <w:tcBorders/>
          </w:tcPr>
          <w:p>
            <w:pPr>
              <w:pStyle w:val="T4dispositie"/>
              <w:rPr>
                <w:i/>
                <w:i/>
                <w:iCs/>
                <w:lang w:val="nl-NL"/>
              </w:rPr>
            </w:pPr>
            <w:r>
              <w:rPr>
                <w:i/>
                <w:iCs/>
                <w:lang w:val="nl-NL"/>
              </w:rPr>
              <w:t>Récit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Cor de Nuit</w:t>
            </w:r>
          </w:p>
          <w:p>
            <w:pPr>
              <w:pStyle w:val="T4dispositie"/>
              <w:rPr>
                <w:lang w:val="nl-NL"/>
              </w:rPr>
            </w:pPr>
            <w:r>
              <w:rPr>
                <w:lang w:val="nl-NL"/>
              </w:rPr>
              <w:t>Viole de Gambe</w:t>
            </w:r>
          </w:p>
          <w:p>
            <w:pPr>
              <w:pStyle w:val="T4dispositie"/>
              <w:rPr>
                <w:lang w:val="nl-NL"/>
              </w:rPr>
            </w:pPr>
            <w:r>
              <w:rPr>
                <w:lang w:val="nl-NL"/>
              </w:rPr>
              <w:t>Voix Céleste</w:t>
            </w:r>
          </w:p>
          <w:p>
            <w:pPr>
              <w:pStyle w:val="T4dispositie"/>
              <w:rPr>
                <w:lang w:val="nl-NL"/>
              </w:rPr>
            </w:pPr>
            <w:r>
              <w:rPr>
                <w:lang w:val="nl-NL"/>
              </w:rPr>
              <w:t>Flûte Octaviante</w:t>
            </w:r>
          </w:p>
          <w:p>
            <w:pPr>
              <w:pStyle w:val="T4dispositie"/>
              <w:rPr>
                <w:lang w:val="nl-NL"/>
              </w:rPr>
            </w:pPr>
            <w:r>
              <w:rPr>
                <w:lang w:val="nl-NL"/>
              </w:rPr>
              <w:t>Quinte</w:t>
            </w:r>
          </w:p>
          <w:p>
            <w:pPr>
              <w:pStyle w:val="T4dispositie"/>
              <w:rPr>
                <w:lang w:val="nl-NL"/>
              </w:rPr>
            </w:pPr>
            <w:r>
              <w:rPr>
                <w:lang w:val="nl-NL"/>
              </w:rPr>
              <w:t>Octavin</w:t>
            </w:r>
          </w:p>
          <w:p>
            <w:pPr>
              <w:pStyle w:val="T4dispositie"/>
              <w:rPr>
                <w:lang w:val="nl-NL"/>
              </w:rPr>
            </w:pPr>
            <w:r>
              <w:rPr>
                <w:lang w:val="nl-NL"/>
              </w:rPr>
              <w:t>Tierce</w:t>
            </w:r>
          </w:p>
          <w:p>
            <w:pPr>
              <w:pStyle w:val="T4dispositie"/>
              <w:rPr>
                <w:lang w:val="nl-NL"/>
              </w:rPr>
            </w:pPr>
            <w:r>
              <w:rPr>
                <w:lang w:val="nl-NL"/>
              </w:rPr>
              <w:t>Basson</w:t>
            </w:r>
          </w:p>
          <w:p>
            <w:pPr>
              <w:pStyle w:val="T4dispositie"/>
              <w:rPr>
                <w:lang w:val="nl-NL"/>
              </w:rPr>
            </w:pPr>
            <w:r>
              <w:rPr>
                <w:lang w:val="nl-NL"/>
              </w:rPr>
              <w:t>Trompette Harmonique</w:t>
            </w:r>
          </w:p>
          <w:p>
            <w:pPr>
              <w:pStyle w:val="T4dispositie"/>
              <w:rPr>
                <w:lang w:val="nl-NL"/>
              </w:rPr>
            </w:pPr>
            <w:r>
              <w:rPr>
                <w:lang w:val="nl-NL"/>
              </w:rPr>
              <w:t>Basson-Hautbois</w:t>
            </w:r>
          </w:p>
          <w:p>
            <w:pPr>
              <w:pStyle w:val="T4dispositie"/>
              <w:rPr>
                <w:lang w:val="nl-NL"/>
              </w:rPr>
            </w:pPr>
            <w:r>
              <w:rPr>
                <w:lang w:val="nl-NL"/>
              </w:rPr>
              <w:t>Voix Humaine</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tc>
        <w:tc>
          <w:tcPr>
            <w:tcW w:w="1460" w:type="dxa"/>
            <w:tcBorders/>
          </w:tcPr>
          <w:p>
            <w:pPr>
              <w:pStyle w:val="T4dispositie"/>
              <w:rPr>
                <w:i/>
                <w:i/>
                <w:iCs/>
                <w:lang w:val="nl-NL"/>
              </w:rPr>
            </w:pPr>
            <w:r>
              <w:rPr>
                <w:i/>
                <w:iCs/>
                <w:lang w:val="nl-NL"/>
              </w:rPr>
              <w:t>Pédale</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Soubasse</w:t>
            </w:r>
          </w:p>
          <w:p>
            <w:pPr>
              <w:pStyle w:val="T4dispositie"/>
              <w:rPr>
                <w:lang w:val="nl-NL"/>
              </w:rPr>
            </w:pPr>
            <w:r>
              <w:rPr>
                <w:lang w:val="nl-NL"/>
              </w:rPr>
              <w:t>Flûte</w:t>
            </w:r>
          </w:p>
          <w:p>
            <w:pPr>
              <w:pStyle w:val="T4dispositie"/>
              <w:rPr>
                <w:lang w:val="nl-NL"/>
              </w:rPr>
            </w:pPr>
            <w:r>
              <w:rPr>
                <w:lang w:val="nl-NL"/>
              </w:rPr>
              <w:t>Basse Douce</w:t>
            </w:r>
          </w:p>
          <w:p>
            <w:pPr>
              <w:pStyle w:val="T4dispositie"/>
              <w:rPr>
                <w:lang w:val="nl-NL"/>
              </w:rPr>
            </w:pPr>
            <w:r>
              <w:rPr>
                <w:lang w:val="nl-NL"/>
              </w:rPr>
              <w:t>Trombone</w:t>
            </w:r>
          </w:p>
          <w:p>
            <w:pPr>
              <w:pStyle w:val="T4dispositie"/>
              <w:rPr>
                <w:lang w:val="nl-NL"/>
              </w:rPr>
            </w:pPr>
            <w:r>
              <w:rPr>
                <w:lang w:val="nl-NL"/>
              </w:rPr>
              <w:t>Tuba</w:t>
            </w:r>
          </w:p>
        </w:tc>
        <w:tc>
          <w:tcPr>
            <w:tcW w:w="67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lang w:val="nl-NL"/>
              </w:rPr>
              <w:t>16</w:t>
            </w:r>
            <w:r>
              <w:rPr>
                <w:lang w:val="en-GB"/>
              </w:rPr>
              <w:t>'</w:t>
            </w:r>
            <w:r>
              <w:rPr>
                <w:lang w:val="nl-NL"/>
              </w:rPr>
              <w:t xml:space="preserve"> tr</w:t>
            </w:r>
          </w:p>
          <w:p>
            <w:pPr>
              <w:pStyle w:val="T4dispositie"/>
              <w:rPr/>
            </w:pPr>
            <w:r>
              <w:rPr>
                <w:lang w:val="nl-NL"/>
              </w:rPr>
              <w:t>8</w:t>
            </w:r>
            <w:r>
              <w:rPr>
                <w:lang w:val="en-GB"/>
              </w:rPr>
              <w:t>'</w:t>
            </w:r>
            <w:r>
              <w:rPr>
                <w:lang w:val="nl-NL"/>
              </w:rPr>
              <w:t xml:space="preserve"> tr</w:t>
            </w:r>
          </w:p>
          <w:p>
            <w:pPr>
              <w:pStyle w:val="T4dispositie"/>
              <w:rPr/>
            </w:pPr>
            <w:r>
              <w:rPr>
                <w:lang w:val="nl-NL"/>
              </w:rPr>
              <w:t>8</w:t>
            </w:r>
            <w:r>
              <w:rPr>
                <w:lang w:val="en-GB"/>
              </w:rPr>
              <w:t>'</w:t>
            </w:r>
            <w:r>
              <w:rPr>
                <w:lang w:val="nl-NL"/>
              </w:rPr>
              <w:t xml:space="preserve"> tr</w:t>
            </w:r>
          </w:p>
          <w:p>
            <w:pPr>
              <w:pStyle w:val="T4dispositie"/>
              <w:rPr/>
            </w:pPr>
            <w:r>
              <w:rPr>
                <w:lang w:val="nl-NL"/>
              </w:rPr>
              <w:t>16</w:t>
            </w:r>
            <w:r>
              <w:rPr>
                <w:lang w:val="en-GB"/>
              </w:rPr>
              <w:t>'</w:t>
            </w:r>
            <w:r>
              <w:rPr>
                <w:lang w:val="nl-NL"/>
              </w:rPr>
              <w:t xml:space="preserve"> tr</w:t>
            </w:r>
          </w:p>
          <w:p>
            <w:pPr>
              <w:pStyle w:val="T4dispositie"/>
              <w:rPr/>
            </w:pPr>
            <w:r>
              <w:rPr>
                <w:lang w:val="nl-NL"/>
              </w:rPr>
              <w:t>8</w:t>
            </w:r>
            <w:r>
              <w:rPr>
                <w:lang w:val="en-GB"/>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Réc unison (manuaalkoppel), Réc Octave Grave, Tirasse Rée, Tirasse GO</w:t>
      </w:r>
    </w:p>
    <w:p>
      <w:pPr>
        <w:pStyle w:val="T1"/>
        <w:jc w:val="start"/>
        <w:rPr>
          <w:lang w:val="nl-NL"/>
        </w:rPr>
      </w:pPr>
      <w:r>
        <w:rPr>
          <w:lang w:val="nl-NL"/>
        </w:rPr>
        <w:t>tremolo</w:t>
      </w:r>
    </w:p>
    <w:p>
      <w:pPr>
        <w:pStyle w:val="T1"/>
        <w:jc w:val="start"/>
        <w:rPr>
          <w:lang w:val="nl-NL"/>
        </w:rPr>
      </w:pPr>
      <w:r>
        <w:rPr>
          <w:lang w:val="nl-NL"/>
        </w:rPr>
        <w:t>anches</w:t>
      </w:r>
    </w:p>
    <w:p>
      <w:pPr>
        <w:pStyle w:val="T1"/>
        <w:jc w:val="start"/>
        <w:rPr>
          <w:lang w:val="nl-NL"/>
        </w:rPr>
      </w:pPr>
      <w:r>
        <w:rPr>
          <w:lang w:val="nl-NL"/>
        </w:rPr>
        <w:t>montre</w:t>
      </w:r>
    </w:p>
    <w:p>
      <w:pPr>
        <w:pStyle w:val="T1"/>
        <w:jc w:val="start"/>
        <w:rPr>
          <w:lang w:val="nl-NL"/>
        </w:rPr>
      </w:pPr>
      <w:r>
        <w:rPr>
          <w:lang w:val="nl-NL"/>
        </w:rPr>
        <w:t>expression</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(1910)</w:t>
      </w:r>
    </w:p>
    <w:p>
      <w:pPr>
        <w:pStyle w:val="T1"/>
        <w:jc w:val="start"/>
        <w:rPr>
          <w:lang w:val="nl-NL"/>
        </w:rPr>
      </w:pPr>
      <w:r>
        <w:rPr>
          <w:lang w:val="nl-NL"/>
        </w:rPr>
        <w:t>Winddruk</w:t>
      </w:r>
    </w:p>
    <w:p>
      <w:pPr>
        <w:pStyle w:val="T1"/>
        <w:jc w:val="start"/>
        <w:rPr>
          <w:lang w:val="nl-NL"/>
        </w:rPr>
      </w:pPr>
      <w:r>
        <w:rPr>
          <w:lang w:val="nl-NL"/>
        </w:rPr>
        <w:t>103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oorspronkelijke kasdelen (grotendeels geboste panelen) zijn van donker gebeitst eiken.</w:t>
      </w:r>
    </w:p>
    <w:p>
      <w:pPr>
        <w:pStyle w:val="T1"/>
        <w:jc w:val="start"/>
        <w:rPr>
          <w:lang w:val="nl-NL"/>
        </w:rPr>
      </w:pPr>
      <w:r>
        <w:rPr>
          <w:lang w:val="nl-NL"/>
        </w:rPr>
        <w:t>Het gehele orgel staat in een zwelkast, de jalouzieën zijn aangebracht aan de gehele voorzijde, ook achter de frontpijpen. Het metalen frontpijpwerk is geheel stom. De panelen onder de frontpijpen zijn uitneembaar voor het stemmen van de tongwerken.</w:t>
      </w:r>
    </w:p>
    <w:p>
      <w:pPr>
        <w:pStyle w:val="T1"/>
        <w:jc w:val="start"/>
        <w:rPr>
          <w:lang w:val="nl-NL"/>
        </w:rPr>
      </w:pPr>
      <w:r>
        <w:rPr>
          <w:lang w:val="nl-NL"/>
        </w:rPr>
        <w:t>De speelhulpen zijn uitgevoerd als treden, van links naar rechts: [Appèl] Montre (zonder opschrift), Tir GO, Tir Réc, [Appèl] Anches, Expression (basculetrede), Réc Unison, Réc Oct Gr, Trémolo. De registertrekkers zijn in terrassen aan weerszijden van de klavieren aangebracht. De registerknoppen zijn van palissander en voorzien van porseleinen plaatjes (GO lichtblauw, Réc roze en Péd oker) met zwarte opschriften. De ondertoetsen zijn belegd met ivoor, de boventoetsen met ebben, de bakstukken zijn van palissander. De orgelbank het pedaalklavier zijn van eiken.</w:t>
      </w:r>
    </w:p>
    <w:p>
      <w:pPr>
        <w:pStyle w:val="T1"/>
        <w:jc w:val="start"/>
        <w:rPr>
          <w:lang w:val="nl-NL"/>
        </w:rPr>
      </w:pPr>
      <w:r>
        <w:rPr>
          <w:lang w:val="nl-NL"/>
        </w:rPr>
        <w:t>De magazijnbalg heeft een in- en uitspringende vouw. Toets- en registertractuur zijn mechanisch; de wellenborden zijn uitgerust met metalen wellen en welarmen.</w:t>
      </w:r>
    </w:p>
    <w:p>
      <w:pPr>
        <w:pStyle w:val="T1"/>
        <w:jc w:val="start"/>
        <w:rPr/>
      </w:pPr>
      <w:r>
        <w:rPr>
          <w:lang w:val="nl-NL"/>
        </w:rPr>
        <w:t xml:space="preserve">De windladen zijn van mahonie. De hoofdlade is uitgevoerd als een gecombineerde sleeplade, de suppletieladen voor het afgevoerde pijpwerk ter weerszijden van de hoofdlade zijn uitgevoerd met moteurs die middels loden conducten aangesloten op de boringen in de hoofdlade worden bediend. Het pijpwerk op de hoofdlade staat in C- en Cisopstelling met de kleinste pijpen in het midden. </w:t>
      </w:r>
      <w:r>
        <w:rPr>
          <w:lang w:val="fr-FR"/>
        </w:rPr>
        <w:t>De registervolgorde is vanaf het front: Voix Humaine, Basson-Hautbois, Trompette H, Basson, Quinte, Tierce, Octavin,Viole de Gambe, Flûte Oct, Cor de Nuit, Voix Céleste, Montre, Flûte H, Prestant, Bourdon 8', Salicional en Bourdon 16'.</w:t>
      </w:r>
    </w:p>
    <w:p>
      <w:pPr>
        <w:pStyle w:val="T1"/>
        <w:jc w:val="start"/>
        <w:rPr/>
      </w:pPr>
      <w:r>
        <w:rPr>
          <w:lang w:val="nl-NL"/>
        </w:rPr>
        <w:t>De Voix Humaine heeft traankelen en cilindrische bekers met deksel. C-b van de Basson-H zijn van spotted metal, alle bekers zijn trechtervormig, c¹-g³ zijn van een hoger tingehalte en hebben een dubbele conus; C-b traankelen; c¹-g³ geforceerde Franse kelen. De Trompette H. is van spotted metal, heeft geforceerde Franse kelen en trechtervormige bekers met vanaf c¹ dubbele lengte. De Basson is van spotted metal heeft traankelen en trechtervormige bekers met in het groot octaaf halve lengte. Alle trechtervormige tongwerkbekers zijn voorzien van een intonatieslits. C-f¹ van de Quinte is gedekt, fis¹-g³ open, c¹-b² met expression; c³-g³ op natuurlijke lengte. De Tierce is van C-g gedekt, van gis-g³ open en heeft van gis-dis² expressions; e²-g³ zijn op natuurlijke lengte. De Octavin is open: C-B met expression, c-g³ met dubbele lengte (overblazend) en op natuurlijke lengte. Het zinken groot octaaf van de Viole de Gambe staat afgevoerd; het vervolg is van tin; gehele register met expressions; C-h</w:t>
      </w:r>
      <w:r>
        <w:rPr>
          <w:vertAlign w:val="superscript"/>
          <w:lang w:val="nl-NL"/>
        </w:rPr>
        <w:t>1</w:t>
      </w:r>
      <w:r>
        <w:rPr>
          <w:lang w:val="nl-NL"/>
        </w:rPr>
        <w:t xml:space="preserve"> hebben metalen rolbaarden tussen lederen stelmoertjes, de rest heeft zijbaarden. De Flûte Oct is van C-b uitgevoerd met expressions; c¹-g³ hebben dubbele lengte (overblazend) en zijn afgesneden op natuurlijke lengte. Het bruinrood geverfde houten groot octaaf en het metalen klein octaaf van de Cor de Nuit staan afgevoerd; het hele register is gedekt. De Voix Céleste is iets wijder dan de Viole de Gambe. C-B van de Montre is van zink en staat afgevoerd. De Flûte H is van C-B van geverfd naaldhout, c-g³ zijn van metaal, fis¹-g³ hebben dubbele lengte (overblazend), c-d² hebben expressions en dis²-g³ zijn op natuurlijke lengte afgesneden. De hele Prestant 4' is van expressions voorzien. C-f</w:t>
      </w:r>
      <w:r>
        <w:rPr>
          <w:vertAlign w:val="superscript"/>
          <w:lang w:val="nl-NL"/>
        </w:rPr>
        <w:t>1</w:t>
      </w:r>
      <w:r>
        <w:rPr>
          <w:lang w:val="nl-NL"/>
        </w:rPr>
        <w:t xml:space="preserve"> van Bourdon 8' zijn afgevoerd, het groot octaaf is van hout. Het zinken groot octaaf van de Salicional staat afgevoerd. De bas van de Bourdon 16' is van geverfd naaldhout en staat afgevoerd; c</w:t>
      </w:r>
      <w:r>
        <w:rPr>
          <w:vertAlign w:val="superscript"/>
          <w:lang w:val="nl-NL"/>
        </w:rPr>
        <w:t>1</w:t>
      </w:r>
      <w:r>
        <w:rPr>
          <w:lang w:val="nl-NL"/>
        </w:rPr>
        <w:t xml:space="preserve"> en cis</w:t>
      </w:r>
      <w:r>
        <w:rPr>
          <w:vertAlign w:val="superscript"/>
          <w:lang w:val="nl-NL"/>
        </w:rPr>
        <w:t>1</w:t>
      </w:r>
      <w:r>
        <w:rPr>
          <w:lang w:val="nl-NL"/>
        </w:rPr>
        <w:t xml:space="preserve"> zijn eveneens afgevoerd. Alle pedaalregisters zijn transmissies, Soubasse van de Bourdon 16' (GO), Flûte van de Flûte H (GO), Basse Douce van de Bourdon 8' (GO), Trombone van de Basson 16' (Réc) en Tuba van de Trompette (Réc).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2003-06-13T09:46:00Z</dcterms:created>
  <dc:creator>WS1</dc:creator>
  <dc:description/>
  <dc:language>en-US</dc:language>
  <cp:lastModifiedBy>Hans</cp:lastModifiedBy>
  <cp:lastPrinted>2009-07-08T13:40:00Z</cp:lastPrinted>
  <dcterms:modified xsi:type="dcterms:W3CDTF">2009-09-28T22:10:00Z</dcterms:modified>
  <cp:revision>12</cp:revision>
  <dc:subject/>
  <dc:title>Hilversum / 1910</dc:title>
</cp:coreProperties>
</file>