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Holwerd (Holwert) / 1906</w:t>
      </w:r>
    </w:p>
    <w:p>
      <w:pPr>
        <w:pStyle w:val="Heading2"/>
        <w:ind w:start="0" w:end="0" w:hanging="0"/>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uit 1850. Ingangspartij in classicistische vormen, waaronder een bekronend fronton op Ionische zuilen. Kansel uit de bouwtijd.</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De grote eenklaviers dispositie, met daarin een Bourdon 16' leidde hier tot een zuiver acht-voets versie van het aanvankelijk meer bescheiden fronttype dat vanaf Wouterswoude (1894) door Bakker &amp; Timmenga veelvuldig werd toegepast. Torens met elk zeven pijpen, vlak en recht uitgevoerde gedeelde tussenvelden met parallel labiumverloop en een scheiding door middel van een lijst die aan de onderzijde de vorm van een boogsegment heeft.</w:t>
      </w:r>
    </w:p>
    <w:p>
      <w:pPr>
        <w:pStyle w:val="T2Kunst"/>
        <w:jc w:val="start"/>
        <w:rPr>
          <w:lang w:val="nl-NL"/>
        </w:rPr>
      </w:pPr>
      <w:r>
        <w:rPr>
          <w:lang w:val="nl-NL"/>
        </w:rPr>
        <w:t>Hoewel de negen pijpen in elk van de vier velden op zichzelf ook bijdragen aan de breedtewerking is dat aantal ook gekozen vanwege de verhouding met de maatvoering van de torens, zoals die uit de mensuren van de Prestant vanaf groot C ontstaan zijn.</w:t>
      </w:r>
    </w:p>
    <w:p>
      <w:pPr>
        <w:pStyle w:val="T2Kunst"/>
        <w:jc w:val="start"/>
        <w:rPr/>
      </w:pPr>
      <w:r>
        <w:rPr>
          <w:lang w:val="nl-NL"/>
        </w:rPr>
        <w:t xml:space="preserve">De ornamentiek is verzorgd en levendig uitgevoerd en heeft alle kenmerken die in het werk van Bakker &amp; Timmenga in deze bouwperiode gebruikelijk zijn: acanthusblad in de </w:t>
      </w:r>
      <w:r>
        <w:rPr>
          <w:i/>
          <w:iCs/>
          <w:lang w:val="nl-NL"/>
        </w:rPr>
        <w:t>culs-de-lampe</w:t>
      </w:r>
      <w:r>
        <w:rPr>
          <w:lang w:val="nl-NL"/>
        </w:rPr>
        <w:t>, laag gehouden blinderingen bij de pijpvoeten, voluutvormen en plantaardige motieven bij alle blinderingen, voortgezet in de opzetstukken, waar dan op de middentoren de bekronende lier verschijnt. De vleugelstukken zijn van het type ‘wijnrank met vogeltje’.</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 Jongepier, ‘Drie gerestaureerde Bakker en Timmenga-orgels’. </w:t>
      </w:r>
      <w:r>
        <w:rPr>
          <w:i/>
          <w:lang w:val="nl-NL"/>
        </w:rPr>
        <w:t>Het Orgel</w:t>
      </w:r>
      <w:r>
        <w:rPr>
          <w:lang w:val="nl-NL"/>
        </w:rPr>
        <w:t>, 84/7-8 (1988), 338-344.</w:t>
      </w:r>
    </w:p>
    <w:p>
      <w:pPr>
        <w:pStyle w:val="T3Lit"/>
        <w:rPr/>
      </w:pPr>
      <w:r>
        <w:rPr>
          <w:lang w:val="nl-NL"/>
        </w:rPr>
        <w:t xml:space="preserve">Jan Jongepier, </w:t>
      </w:r>
      <w:r>
        <w:rPr>
          <w:i/>
          <w:lang w:val="nl-NL"/>
        </w:rPr>
        <w:t>Vijf eeuwen Friese orgelbouw.</w:t>
      </w:r>
      <w:r>
        <w:rPr>
          <w:lang w:val="nl-NL"/>
        </w:rPr>
        <w:t xml:space="preserve"> Leeuwarden, 2004, 192.</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J. Jongepier, </w:t>
      </w:r>
      <w:r>
        <w:rPr>
          <w:i/>
          <w:iCs/>
          <w:lang w:val="nl-NL"/>
        </w:rPr>
        <w:t>Rapport over het orgel in de Doopsgezinde kerk te Holwerd</w:t>
      </w:r>
      <w:r>
        <w:rPr>
          <w:lang w:val="nl-NL"/>
        </w:rPr>
        <w:t>. Leeuwarden, 1988.</w:t>
      </w:r>
    </w:p>
    <w:p>
      <w:pPr>
        <w:pStyle w:val="T3Lit"/>
        <w:rPr>
          <w:lang w:val="nl-NL"/>
        </w:rPr>
      </w:pPr>
      <w:r>
        <w:rPr>
          <w:lang w:val="nl-NL"/>
        </w:rPr>
      </w:r>
    </w:p>
    <w:p>
      <w:pPr>
        <w:pStyle w:val="T3Lit"/>
        <w:rPr>
          <w:lang w:val="nl-NL"/>
        </w:rPr>
      </w:pPr>
      <w:r>
        <w:rPr>
          <w:lang w:val="nl-NL"/>
        </w:rPr>
        <w:t>Monumentnummer 38710</w:t>
      </w:r>
    </w:p>
    <w:p>
      <w:pPr>
        <w:pStyle w:val="T3Lit"/>
        <w:rPr>
          <w:lang w:val="nl-NL"/>
        </w:rPr>
      </w:pPr>
      <w:r>
        <w:rPr>
          <w:lang w:val="nl-NL"/>
        </w:rPr>
        <w:t>Orgelnummer 700</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Orgelmakerij Bakker &amp; Timmenga 1977</w:t>
      </w:r>
    </w:p>
    <w:p>
      <w:pPr>
        <w:pStyle w:val="T1"/>
        <w:numPr>
          <w:ilvl w:val="0"/>
          <w:numId w:val="2"/>
        </w:numPr>
        <w:jc w:val="start"/>
        <w:rPr>
          <w:lang w:val="nl-NL"/>
        </w:rPr>
      </w:pPr>
      <w:r>
        <w:rPr>
          <w:lang w:val="nl-NL"/>
        </w:rPr>
        <w:t>houten pijpwerk hersteld</w:t>
      </w:r>
    </w:p>
    <w:p>
      <w:pPr>
        <w:pStyle w:val="T1"/>
        <w:jc w:val="start"/>
        <w:rPr>
          <w:lang w:val="nl-NL"/>
        </w:rPr>
      </w:pPr>
      <w:r>
        <w:rPr>
          <w:lang w:val="nl-NL"/>
        </w:rPr>
      </w:r>
    </w:p>
    <w:p>
      <w:pPr>
        <w:pStyle w:val="T1"/>
        <w:jc w:val="start"/>
        <w:rPr>
          <w:lang w:val="nl-NL"/>
        </w:rPr>
      </w:pPr>
      <w:r>
        <w:rPr>
          <w:lang w:val="nl-NL"/>
        </w:rPr>
        <w:t>Orgelmakerij Bakker &amp; Timmenga 1988</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windlade van hechthouten platen voorzien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Melophone</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Klarinet*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 gereserveerd</w:t>
      </w:r>
    </w:p>
    <w:p>
      <w:pPr>
        <w:pStyle w:val="T1"/>
        <w:jc w:val="start"/>
        <w:rPr>
          <w:sz w:val="20"/>
          <w:lang w:val="nl-NL"/>
        </w:rPr>
      </w:pPr>
      <w:r>
        <w:rPr>
          <w:sz w:val="20"/>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2/3 - 1 3/5</w:t>
      </w:r>
      <w:r>
        <w:rPr>
          <w:lang w:val="nl-NL"/>
        </w:rPr>
        <w:t xml:space="preserve">   </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(1906)</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Op de windlade is nog plaats voor een Klarinet. Sleep, stok, en registermechaniek zijn echter niet aanwezig.</w:t>
      </w:r>
    </w:p>
    <w:p>
      <w:pPr>
        <w:pStyle w:val="T1"/>
        <w:jc w:val="start"/>
        <w:rPr>
          <w:lang w:val="nl-NL"/>
        </w:rPr>
      </w:pPr>
      <w:r>
        <w:rPr>
          <w:lang w:val="nl-NL"/>
        </w:rPr>
        <w:t>Het handklavier is een eiken staartklavier. Het eiken pedaalklavier heeft korte boventoetsen van gelijke lengte. De registerknoppen zijn boven de lessenaar aangebracht en voorzien van porseleinen naamplaatjes.</w:t>
      </w:r>
    </w:p>
    <w:p>
      <w:pPr>
        <w:pStyle w:val="T1"/>
        <w:jc w:val="start"/>
        <w:rPr>
          <w:lang w:val="nl-NL"/>
        </w:rPr>
      </w:pPr>
      <w:r>
        <w:rPr>
          <w:lang w:val="nl-NL"/>
        </w:rPr>
        <w:t>Het windtoestel bevindt zich in de onderkas.</w:t>
      </w:r>
    </w:p>
    <w:p>
      <w:pPr>
        <w:pStyle w:val="T1"/>
        <w:jc w:val="start"/>
        <w:rPr/>
      </w:pPr>
      <w:r>
        <w:rPr>
          <w:lang w:val="nl-NL"/>
        </w:rPr>
        <w:t>De windlade is voor wat betreft cancellenraam en ventielkast van eiken, stokken en roosters zijn van mahonie. De indeling is als volgt: fis d B Gis c e gis e</w:t>
      </w:r>
      <w:r>
        <w:rPr>
          <w:szCs w:val="24"/>
          <w:vertAlign w:val="superscript"/>
          <w:lang w:val="nl-NL"/>
        </w:rPr>
        <w:t>3</w:t>
      </w:r>
      <w:r>
        <w:rPr>
          <w:lang w:val="nl-NL"/>
        </w:rPr>
        <w:t xml:space="preserve"> (hele tonen) b Fis E D C Cis D Dis F a (hele tonen) f</w:t>
      </w:r>
      <w:r>
        <w:rPr>
          <w:szCs w:val="24"/>
          <w:vertAlign w:val="superscript"/>
          <w:lang w:val="nl-NL"/>
        </w:rPr>
        <w:t>3</w:t>
      </w:r>
      <w:r>
        <w:rPr>
          <w:lang w:val="nl-NL"/>
        </w:rPr>
        <w:t xml:space="preserve"> g dis H G A cis f.</w:t>
      </w:r>
    </w:p>
    <w:p>
      <w:pPr>
        <w:pStyle w:val="T1"/>
        <w:jc w:val="start"/>
        <w:rPr/>
      </w:pPr>
      <w:r>
        <w:rPr>
          <w:lang w:val="nl-NL"/>
        </w:rPr>
        <w:t>In het front spreken C-f</w:t>
      </w:r>
      <w:r>
        <w:rPr>
          <w:vertAlign w:val="superscript"/>
          <w:lang w:val="nl-NL"/>
        </w:rPr>
        <w:t>1</w:t>
      </w:r>
      <w:r>
        <w:rPr>
          <w:lang w:val="nl-NL"/>
        </w:rPr>
        <w:t xml:space="preserve"> van de Prestant 8</w:t>
      </w:r>
      <w:r>
        <w:rPr>
          <w:szCs w:val="24"/>
          <w:lang w:val="nl-NL" w:bidi="zxx"/>
        </w:rPr>
        <w:t>'</w:t>
      </w:r>
      <w:r>
        <w:rPr>
          <w:lang w:val="nl-NL"/>
        </w:rPr>
        <w:t xml:space="preserve"> in de drie torens en in de onderste tussenvelden, het vervolg staat op de lade. De Melophone 8</w:t>
      </w:r>
      <w:r>
        <w:rPr>
          <w:szCs w:val="24"/>
          <w:lang w:val="nl-NL" w:bidi="zxx"/>
        </w:rPr>
        <w:t>'</w:t>
      </w:r>
      <w:r>
        <w:rPr>
          <w:lang w:val="nl-NL"/>
        </w:rPr>
        <w:t xml:space="preserve"> is van C-H gecombineerd met de Prestant 8</w:t>
      </w:r>
      <w:r>
        <w:rPr>
          <w:szCs w:val="24"/>
          <w:lang w:val="nl-NL" w:bidi="zxx"/>
        </w:rPr>
        <w:t>'</w:t>
      </w:r>
      <w:r>
        <w:rPr>
          <w:lang w:val="nl-NL"/>
        </w:rPr>
        <w:t>, c-f met schuin geplaatste voorbaardjes. C-h van de Bourdon 16</w:t>
      </w:r>
      <w:r>
        <w:rPr>
          <w:szCs w:val="24"/>
          <w:lang w:val="nl-NL" w:bidi="zxx"/>
        </w:rPr>
        <w:t>'</w:t>
      </w:r>
      <w:r>
        <w:rPr>
          <w:lang w:val="nl-NL"/>
        </w:rPr>
        <w:t xml:space="preserve"> zijn van Amerikaans grenen; daarvan staan C-G op een aparte kegellade, de discant is van metaal. C-H van de Holpijp 8</w:t>
      </w:r>
      <w:r>
        <w:rPr>
          <w:szCs w:val="24"/>
          <w:lang w:val="nl-NL" w:bidi="zxx"/>
        </w:rPr>
        <w:t>'</w:t>
      </w:r>
      <w:r>
        <w:rPr>
          <w:lang w:val="nl-NL"/>
        </w:rPr>
        <w:t xml:space="preserve"> zijn eveneens van Amerikaans grenen. De Viola di Gamba 8</w:t>
      </w:r>
      <w:r>
        <w:rPr>
          <w:szCs w:val="24"/>
          <w:lang w:val="nl-NL" w:bidi="zxx"/>
        </w:rPr>
        <w:t>'</w:t>
      </w:r>
      <w:r>
        <w:rPr>
          <w:lang w:val="nl-NL"/>
        </w:rPr>
        <w:t xml:space="preserve"> is van C-H gecombineerd met de Holpijp, het vervolg is wat betreft factuur gelijk aan de Melophone. De Fluit 4</w:t>
      </w:r>
      <w:r>
        <w:rPr>
          <w:szCs w:val="24"/>
          <w:lang w:val="nl-NL" w:bidi="zxx"/>
        </w:rPr>
        <w:t>'</w:t>
      </w:r>
      <w:r>
        <w:rPr>
          <w:lang w:val="nl-NL"/>
        </w:rPr>
        <w:t xml:space="preserve"> is van C-f</w:t>
      </w:r>
      <w:r>
        <w:rPr>
          <w:vertAlign w:val="superscript"/>
          <w:lang w:val="nl-NL"/>
        </w:rPr>
        <w:t>2</w:t>
      </w:r>
      <w:r>
        <w:rPr>
          <w:lang w:val="nl-NL"/>
        </w:rPr>
        <w:t xml:space="preserve"> gedekt en verder open, conisch. Van het vier-voets koor van de Cornet zijn c</w:t>
      </w:r>
      <w:r>
        <w:rPr>
          <w:vertAlign w:val="superscript"/>
          <w:lang w:val="nl-NL"/>
        </w:rPr>
        <w:t>1</w:t>
      </w:r>
      <w:r>
        <w:rPr>
          <w:lang w:val="nl-NL"/>
        </w:rPr>
        <w:t>-h</w:t>
      </w:r>
      <w:r>
        <w:rPr>
          <w:vertAlign w:val="superscript"/>
          <w:lang w:val="nl-NL"/>
        </w:rPr>
        <w:t>1</w:t>
      </w:r>
      <w:r>
        <w:rPr>
          <w:lang w:val="nl-NL"/>
        </w:rPr>
        <w:t xml:space="preserve"> gedekt, het vervolg is open. Het metalen binnenpijpwerk is toegeleverd materiaal en is voorzien van geperste labia.</w:t>
      </w:r>
    </w:p>
    <w:p>
      <w:pPr>
        <w:pStyle w:val="T1"/>
        <w:jc w:val="start"/>
        <w:rPr/>
      </w:pPr>
      <w:r>
        <w:rPr>
          <w:lang w:val="nl-NL"/>
        </w:rPr>
        <w:t>Expressions zijn toegepast bij de Prestant 8</w:t>
      </w:r>
      <w:r>
        <w:rPr>
          <w:szCs w:val="24"/>
          <w:lang w:val="nl-NL" w:bidi="zxx"/>
        </w:rPr>
        <w:t>'</w:t>
      </w:r>
      <w:r>
        <w:rPr>
          <w:lang w:val="nl-NL"/>
        </w:rPr>
        <w:t>, Melophone 8</w:t>
      </w:r>
      <w:r>
        <w:rPr>
          <w:szCs w:val="24"/>
          <w:lang w:val="nl-NL" w:bidi="zxx"/>
        </w:rPr>
        <w:t>'</w:t>
      </w:r>
      <w:r>
        <w:rPr>
          <w:lang w:val="nl-NL"/>
        </w:rPr>
        <w:t xml:space="preserve"> en Viola di Gamba 8</w:t>
      </w:r>
      <w:r>
        <w:rPr>
          <w:szCs w:val="24"/>
          <w:lang w:val="nl-NL" w:bidi="zxx"/>
        </w:rPr>
        <w:t>'</w:t>
      </w:r>
      <w:r>
        <w:rPr>
          <w:lang w:val="nl-NL"/>
        </w:rPr>
        <w:t xml:space="preserve"> (geheel) en verder bij de Octaaf 4</w:t>
      </w:r>
      <w:r>
        <w:rPr>
          <w:szCs w:val="24"/>
          <w:lang w:val="nl-NL" w:bidi="zxx"/>
        </w:rPr>
        <w:t>'</w:t>
      </w:r>
      <w:r>
        <w:rPr>
          <w:lang w:val="nl-NL"/>
        </w:rPr>
        <w:t xml:space="preserve"> (C-h</w:t>
      </w:r>
      <w:r>
        <w:rPr>
          <w:vertAlign w:val="superscript"/>
          <w:lang w:val="nl-NL"/>
        </w:rPr>
        <w:t>1</w:t>
      </w:r>
      <w:r>
        <w:rPr>
          <w:lang w:val="nl-NL"/>
        </w:rPr>
        <w:t>) en de Octaaf 2</w:t>
      </w:r>
      <w:r>
        <w:rPr>
          <w:szCs w:val="24"/>
          <w:lang w:val="nl-NL" w:bidi="zxx"/>
        </w:rPr>
        <w:t>'</w:t>
      </w:r>
      <w:r>
        <w:rPr>
          <w:lang w:val="nl-NL"/>
        </w:rPr>
        <w:t xml:space="preserve"> (C-h). Bij de Cornet hebben de volgende pijpen expressions: 4' c</w:t>
      </w:r>
      <w:r>
        <w:rPr>
          <w:vertAlign w:val="superscript"/>
          <w:lang w:val="nl-NL"/>
        </w:rPr>
        <w:t>2</w:t>
      </w:r>
      <w:r>
        <w:rPr>
          <w:lang w:val="nl-NL"/>
        </w:rPr>
        <w:t>-f</w:t>
      </w:r>
      <w:r>
        <w:rPr>
          <w:vertAlign w:val="superscript"/>
          <w:lang w:val="nl-NL"/>
        </w:rPr>
        <w:t>2</w:t>
      </w:r>
      <w:r>
        <w:rPr>
          <w:lang w:val="nl-NL"/>
        </w:rPr>
        <w:t>, 2 2/3' c</w:t>
      </w:r>
      <w:r>
        <w:rPr>
          <w:vertAlign w:val="superscript"/>
          <w:lang w:val="nl-NL"/>
        </w:rPr>
        <w:t>1</w:t>
      </w:r>
      <w:r>
        <w:rPr>
          <w:lang w:val="nl-NL"/>
        </w:rPr>
        <w:t>-b</w:t>
      </w:r>
      <w:r>
        <w:rPr>
          <w:vertAlign w:val="superscript"/>
          <w:lang w:val="nl-NL"/>
        </w:rPr>
        <w:t>1</w:t>
      </w:r>
      <w:r>
        <w:rPr>
          <w:lang w:val="nl-NL"/>
        </w:rPr>
        <w:t>, 1 3/5' c</w:t>
      </w:r>
      <w:r>
        <w:rPr>
          <w:vertAlign w:val="superscript"/>
          <w:lang w:val="nl-NL"/>
        </w:rPr>
        <w:t>1</w:t>
      </w:r>
      <w:r>
        <w:rPr>
          <w:lang w:val="nl-NL"/>
        </w:rPr>
        <w:t xml:space="preserve"> en cis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2008-02-27T14:31:00Z</dcterms:created>
  <dc:creator>WS1</dc:creator>
  <dc:description/>
  <dc:language>en-US</dc:language>
  <cp:lastModifiedBy>NIvO</cp:lastModifiedBy>
  <dcterms:modified xsi:type="dcterms:W3CDTF">2009-09-29T09:07:00Z</dcterms:modified>
  <cp:revision>12</cp:revision>
  <dc:subject/>
  <dc:title>Niekerk (Hunsingo) / 1883</dc:title>
</cp:coreProperties>
</file>