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Kortgene / 1905</w:t>
      </w:r>
    </w:p>
    <w:p>
      <w:pPr>
        <w:pStyle w:val="Heading2"/>
        <w:rPr>
          <w:i w:val="false"/>
          <w:i w:val="false"/>
          <w:iCs/>
        </w:rPr>
      </w:pPr>
      <w:r>
        <w:rPr>
          <w:i w:val="false"/>
          <w:iCs/>
        </w:rPr>
        <w:t>Hervormde Kerk</w:t>
      </w:r>
    </w:p>
    <w:p>
      <w:pPr>
        <w:pStyle w:val="T1"/>
        <w:jc w:val="start"/>
        <w:rPr>
          <w:i/>
          <w:i/>
          <w:iCs/>
        </w:rPr>
      </w:pPr>
      <w:r>
        <w:rPr>
          <w:i/>
          <w:iCs/>
        </w:rPr>
      </w:r>
    </w:p>
    <w:p>
      <w:pPr>
        <w:pStyle w:val="T1"/>
        <w:jc w:val="start"/>
        <w:rPr>
          <w:i/>
          <w:i/>
          <w:iCs/>
          <w:lang w:val="nl-NL"/>
        </w:rPr>
      </w:pPr>
      <w:r>
        <w:rPr>
          <w:i/>
          <w:iCs/>
          <w:lang w:val="nl-NL"/>
        </w:rPr>
        <w:t>Van de in de 15e eeuw gebouwde kerk restte na de stormvloeden van 1530 en 1532 alleen nog de bakstenen toren. Kortgene stond vervolgens 150 jaar onder water. Om deze oude kerktoren heen bouwde men in 1681 de huidige torenmuren tegelijk met de bouw van de huidige kerk. Het koor van de kerk is in 1886 afgebroken. In de oostelijke sluitmuur een laatgotische poort, met kraallijst, mogelijk vervaardigd in navolging van eenzelfde portiek in de onderbouw van de toren. De toren draagt kenmerken van wijzigingen in 1681 en 1754. Laatgotische ingangspoort met kraalprofiel. In dezelfde gevel wapensteen Anno 1684. Inwendig preekstoel met hermen ca 1625. Klokkenstoel met klok van L. Herve uit 1661.</w:t>
      </w:r>
    </w:p>
    <w:p>
      <w:pPr>
        <w:pStyle w:val="T1"/>
        <w:jc w:val="start"/>
        <w:rPr>
          <w:i/>
          <w:i/>
          <w:iCs/>
          <w:lang w:val="nl-NL"/>
        </w:rPr>
      </w:pPr>
      <w:r>
        <w:rPr>
          <w:i/>
          <w:iCs/>
          <w:lang w:val="nl-NL"/>
        </w:rPr>
      </w:r>
    </w:p>
    <w:p>
      <w:pPr>
        <w:pStyle w:val="T1"/>
        <w:jc w:val="start"/>
        <w:rPr>
          <w:lang w:val="nl-NL"/>
        </w:rPr>
      </w:pPr>
      <w:r>
        <w:rPr>
          <w:lang w:val="nl-NL"/>
        </w:rPr>
        <w:t>Kas: 1905</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 xml:space="preserve">Het front van Kortgene betekent het afscheid van het werk van de derde generatie Van Dam. </w:t>
      </w:r>
      <w:r>
        <w:rPr>
          <w:lang w:val="nl-NL"/>
        </w:rPr>
        <w:t>Hoewel deze formeel op het moment van oplevering al voorbij was moet het orgel nog tijdens de laatste levensmaanden van Lambertus II (1823-1904) zijn opgedragen, waarbij ook de keuze van het frontontwerp werd overeengekomen. Zo kwam hier het voor een eenklaviers orgel meest voor de hand liggende ontwerp in uitvoering, een ontwerp dat vanaf 1881 frequent door Van Dam werd toegepast, meestal voor orgels van deze omvang, sporadisch echter ook wel voor kleinere tweeklaviers instrumenten.</w:t>
      </w:r>
    </w:p>
    <w:p>
      <w:pPr>
        <w:pStyle w:val="T2Kunst"/>
        <w:jc w:val="start"/>
        <w:rPr/>
      </w:pPr>
      <w:r>
        <w:rPr/>
        <w:t xml:space="preserve">De vrij simpele architectuur van het ontwerp, bestaande uit drie ronde torens met elk vijf pijpen en vlakke, ongedeelde tussenvelden, kreeg bij alle toepassingen een uitbundige, en daardoor contrasterende omlijsting van virtuoos en kunstzinnig gesneden ornament. Het merendeel hiervan vindt zijn inspiratie bij de 18e eeuwse Franse meubelstijlen. Ook in dit front is dit herkenbaar. Voluutbanden, bladranken en bloemen vormen het repertoire dat in culs-de-lampe, blinderingen en bekroningen verwerkt is. </w:t>
      </w:r>
      <w:r>
        <w:rPr>
          <w:lang w:val="nl-NL"/>
        </w:rPr>
        <w:t>Hoewel deze grondmotieven steeds terug te vinden zijn blijkt toch telkens weer, dat ze per object onderling gevarieerd zijn.</w:t>
      </w:r>
    </w:p>
    <w:p>
      <w:pPr>
        <w:pStyle w:val="T2Kunst"/>
        <w:jc w:val="start"/>
        <w:rPr/>
      </w:pPr>
      <w:r>
        <w:rPr/>
        <w:t>Heel karakteristiek zijn de culs-de-lampe onder de drie torens, waarin voluutbanden, schubwerk en bloemen samen de compositie vormen.</w:t>
      </w:r>
    </w:p>
    <w:p>
      <w:pPr>
        <w:pStyle w:val="T2Kunst"/>
        <w:jc w:val="start"/>
        <w:rPr/>
      </w:pPr>
      <w:r>
        <w:rPr>
          <w:lang w:val="nl-NL"/>
        </w:rPr>
        <w:t xml:space="preserve">De vleugelstukken bezitten ook weer een voluutband als hoofdvorm, een grote bloem in het hart van de krul, ruitwerk in het dichte paneel, en bladmotieven als omlijsting. </w:t>
      </w:r>
      <w:r>
        <w:rPr/>
        <w:t>Vanwege het ontbreken van balustrades aan weerszijden is hier gekozen voor het vleugeltype dat onderaan weer naar de zijstijl van het front terugkeert.</w:t>
      </w:r>
    </w:p>
    <w:p>
      <w:pPr>
        <w:pStyle w:val="T2Kunst"/>
        <w:jc w:val="start"/>
        <w:rPr/>
      </w:pPr>
      <w:r>
        <w:rPr/>
        <w:t>In de blinderingen worden op de meeste plaatsen blad- en bloemmotieven aangetroffen. De boogvormige afsluiting van de tussenvelden is omlijst met gekoppelde boogjes. Boven de tussenvelden is een verbindingsornament geplaatst, waarbij ook weer voluutvormen de begrenzing vormen.</w:t>
      </w:r>
    </w:p>
    <w:p>
      <w:pPr>
        <w:pStyle w:val="T2Kunst"/>
        <w:jc w:val="start"/>
        <w:rPr/>
      </w:pPr>
      <w:r>
        <w:rPr/>
        <w:t>De opzetstukken op de torenkappen zijn uit dezelfde bronnen samengesteld, waarbij het middelste opzetstuk in het hart een schild bevat.</w:t>
      </w:r>
    </w:p>
    <w:p>
      <w:pPr>
        <w:pStyle w:val="T2Kunst"/>
        <w:jc w:val="start"/>
        <w:rPr/>
      </w:pPr>
      <w:r>
        <w:rPr/>
      </w:r>
    </w:p>
    <w:p>
      <w:pPr>
        <w:pStyle w:val="T3Lit"/>
        <w:rPr>
          <w:b/>
          <w:b/>
          <w:bCs/>
          <w:lang w:val="nl-NL"/>
        </w:rPr>
      </w:pPr>
      <w:r>
        <w:rPr>
          <w:b/>
          <w:bCs/>
          <w:lang w:val="nl-NL"/>
        </w:rPr>
        <w:t>Literatuur</w:t>
      </w:r>
    </w:p>
    <w:p>
      <w:pPr>
        <w:pStyle w:val="T3Lit"/>
        <w:rPr/>
      </w:pPr>
      <w:r>
        <w:rPr>
          <w:lang w:val="nl-NL"/>
        </w:rPr>
        <w:t xml:space="preserve">Carel van Gestel, </w:t>
      </w:r>
      <w:r>
        <w:rPr>
          <w:i/>
          <w:iCs/>
          <w:lang w:val="nl-NL"/>
        </w:rPr>
        <w:t>Van kerk naar kerk, (Walcheren / Noord-Beveland)</w:t>
      </w:r>
      <w:r>
        <w:rPr>
          <w:lang w:val="nl-NL"/>
        </w:rPr>
        <w:t>. Zaltbommel, 2009, 16-18.</w:t>
      </w:r>
    </w:p>
    <w:p>
      <w:pPr>
        <w:pStyle w:val="T3Lit"/>
        <w:jc w:val="start"/>
        <w:rPr/>
      </w:pPr>
      <w:r>
        <w:rPr>
          <w:lang w:val="nl-NL"/>
        </w:rPr>
        <w:t xml:space="preserve">J. H. Kluiver, ‘Historische orgels in Zeeland. Zuid en Noord Beveland. </w:t>
      </w:r>
      <w:r>
        <w:rPr>
          <w:i/>
          <w:lang w:val="nl-NL"/>
        </w:rPr>
        <w:t>Archief uitgegeven door het Koninklijk Zeeuwsch Genootschap der Wetenschappen</w:t>
      </w:r>
      <w:r>
        <w:rPr>
          <w:lang w:val="nl-NL"/>
        </w:rPr>
        <w:t xml:space="preserve"> (1973), 93-94.</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Informatie verstrekt door R. Nijsse.</w:t>
      </w:r>
    </w:p>
    <w:p>
      <w:pPr>
        <w:pStyle w:val="T3Lit"/>
        <w:jc w:val="start"/>
        <w:rPr>
          <w:lang w:val="nl-NL"/>
        </w:rPr>
      </w:pPr>
      <w:r>
        <w:rPr>
          <w:lang w:val="nl-NL"/>
        </w:rPr>
      </w:r>
    </w:p>
    <w:p>
      <w:pPr>
        <w:pStyle w:val="T3Lit"/>
        <w:rPr>
          <w:lang w:val="nl-NL"/>
        </w:rPr>
      </w:pPr>
      <w:r>
        <w:rPr>
          <w:lang w:val="nl-NL"/>
        </w:rPr>
        <w:t>Monumentnummer 23770</w:t>
      </w:r>
    </w:p>
    <w:p>
      <w:pPr>
        <w:pStyle w:val="T3Lit"/>
        <w:rPr>
          <w:lang w:val="nl-NL"/>
        </w:rPr>
      </w:pPr>
      <w:r>
        <w:rPr>
          <w:lang w:val="nl-NL"/>
        </w:rPr>
        <w:t>Orgelnummer 804</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1905</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windlade gerestaureerd en van verende ringen voorzien</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 Trompet B/D 8' op daarvoor gereserveerde plaats</w:t>
      </w:r>
    </w:p>
    <w:p>
      <w:pPr>
        <w:pStyle w:val="T1"/>
        <w:jc w:val="start"/>
        <w:rPr>
          <w:lang w:val="nl-NL"/>
        </w:rPr>
      </w:pPr>
      <w:r>
        <w:rPr>
          <w:lang w:val="nl-NL"/>
        </w:rPr>
      </w:r>
    </w:p>
    <w:p>
      <w:pPr>
        <w:pStyle w:val="T1"/>
        <w:jc w:val="start"/>
        <w:rPr>
          <w:lang w:val="nl-NL"/>
        </w:rPr>
      </w:pPr>
      <w:r>
        <w:rPr>
          <w:lang w:val="nl-NL"/>
        </w:rPr>
        <w:t>A. Nijsse &amp; Zn 1992</w:t>
      </w:r>
    </w:p>
    <w:p>
      <w:pPr>
        <w:pStyle w:val="T1"/>
        <w:jc w:val="start"/>
        <w:rPr>
          <w:lang w:val="nl-NL"/>
        </w:rPr>
      </w:pPr>
      <w:r>
        <w:rPr>
          <w:lang w:val="nl-NL"/>
        </w:rPr>
        <w:t>.</w:t>
        <w:tab/>
        <w:t>nieuwe Trompet 8' geplaatst</w:t>
      </w:r>
    </w:p>
    <w:p>
      <w:pPr>
        <w:pStyle w:val="T1"/>
        <w:jc w:val="start"/>
        <w:rPr>
          <w:lang w:val="nl-NL"/>
        </w:rPr>
      </w:pPr>
      <w:r>
        <w:rPr>
          <w:lang w:val="nl-NL"/>
        </w:rPr>
      </w:r>
    </w:p>
    <w:p>
      <w:pPr>
        <w:pStyle w:val="T1"/>
        <w:jc w:val="start"/>
        <w:rPr>
          <w:lang w:val="nl-NL"/>
        </w:rPr>
      </w:pPr>
      <w:r>
        <w:rPr>
          <w:lang w:val="nl-NL"/>
        </w:rPr>
        <w:t>A. Nijsse &amp; Zn 2007</w:t>
      </w:r>
    </w:p>
    <w:p>
      <w:pPr>
        <w:pStyle w:val="T1"/>
        <w:jc w:val="start"/>
        <w:rPr>
          <w:lang w:val="nl-NL"/>
        </w:rPr>
      </w:pPr>
      <w:r>
        <w:rPr>
          <w:lang w:val="nl-NL"/>
        </w:rPr>
        <w:t>.</w:t>
        <w:tab/>
        <w:t>nieuw pedaalklavier met grotere omvang aangebracht (oorspronkelijk C-g)</w:t>
      </w:r>
    </w:p>
    <w:p>
      <w:pPr>
        <w:pStyle w:val="T1"/>
        <w:jc w:val="start"/>
        <w:rPr>
          <w:lang w:val="nl-NL"/>
        </w:rPr>
      </w:pPr>
      <w:r>
        <w:rPr>
          <w:lang w:val="nl-NL"/>
        </w:rPr>
        <w:t>.</w:t>
        <w:tab/>
        <w:t>nieuw walsbord Ped</w:t>
      </w:r>
    </w:p>
    <w:p>
      <w:pPr>
        <w:pStyle w:val="T1"/>
        <w:jc w:val="start"/>
        <w:rPr>
          <w:lang w:val="nl-NL"/>
        </w:rPr>
      </w:pPr>
      <w:r>
        <w:rPr>
          <w:lang w:val="nl-NL"/>
        </w:rPr>
        <w:t>.</w:t>
        <w:tab/>
        <w:t>nieuwe orgelbank</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330"/>
        <w:gridCol w:w="720"/>
      </w:tblGrid>
      <w:tr>
        <w:trPr/>
        <w:tc>
          <w:tcPr>
            <w:tcW w:w="1330" w:type="dxa"/>
            <w:tcBorders/>
          </w:tcPr>
          <w:p>
            <w:pPr>
              <w:pStyle w:val="T4dispositie"/>
              <w:rPr>
                <w:i/>
                <w:i/>
                <w:iCs/>
                <w:lang w:val="nl-NL"/>
              </w:rPr>
            </w:pPr>
            <w:r>
              <w:rPr>
                <w:i/>
                <w:iCs/>
                <w:lang w:val="nl-NL"/>
              </w:rPr>
              <w:t>Manuaal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Holpÿp</w:t>
            </w:r>
          </w:p>
          <w:p>
            <w:pPr>
              <w:pStyle w:val="T4dispositie"/>
              <w:rPr>
                <w:lang w:val="nl-NL"/>
              </w:rPr>
            </w:pPr>
            <w:r>
              <w:rPr>
                <w:lang w:val="nl-NL"/>
              </w:rPr>
              <w:t>Violoncel</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en-GB"/>
              </w:rPr>
            </w:pPr>
            <w:r>
              <w:rPr>
                <w:lang w:val="en-GB"/>
              </w:rPr>
              <w:t>Cornet D</w:t>
            </w:r>
          </w:p>
          <w:p>
            <w:pPr>
              <w:pStyle w:val="T4dispositie"/>
              <w:rPr>
                <w:lang w:val="en-GB"/>
              </w:rPr>
            </w:pPr>
            <w:r>
              <w:rPr>
                <w:lang w:val="en-GB"/>
              </w:rPr>
              <w:t>Trompet B/D</w:t>
            </w:r>
          </w:p>
        </w:tc>
        <w:tc>
          <w:tcPr>
            <w:tcW w:w="72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tremblant</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t>Samenstelling vulstem</w:t>
      </w:r>
    </w:p>
    <w:tbl>
      <w:tblPr>
        <w:tblW w:w="2161" w:type="dxa"/>
        <w:jc w:val="start"/>
        <w:tblInd w:w="-70" w:type="dxa"/>
        <w:tblLayout w:type="fixed"/>
        <w:tblCellMar>
          <w:top w:w="0" w:type="dxa"/>
          <w:start w:w="70" w:type="dxa"/>
          <w:bottom w:w="0" w:type="dxa"/>
          <w:end w:w="70" w:type="dxa"/>
        </w:tblCellMar>
      </w:tblPr>
      <w:tblGrid>
        <w:gridCol w:w="914"/>
        <w:gridCol w:w="628"/>
        <w:gridCol w:w="619"/>
      </w:tblGrid>
      <w:tr>
        <w:trPr/>
        <w:tc>
          <w:tcPr>
            <w:tcW w:w="914" w:type="dxa"/>
            <w:tcBorders/>
          </w:tcPr>
          <w:p>
            <w:pPr>
              <w:pStyle w:val="Normal"/>
              <w:rPr>
                <w:rFonts w:ascii="Times New Roman" w:hAnsi="Times New Roman" w:cs="Times New Roman"/>
                <w:szCs w:val="24"/>
                <w:lang w:val="en-US"/>
              </w:rPr>
            </w:pPr>
            <w:r>
              <w:rPr>
                <w:rFonts w:cs="Times New Roman" w:ascii="Times New Roman" w:hAnsi="Times New Roman"/>
                <w:szCs w:val="24"/>
                <w:lang w:val="en-US"/>
              </w:rPr>
              <w:t>Cornet</w:t>
            </w:r>
          </w:p>
        </w:tc>
        <w:tc>
          <w:tcPr>
            <w:tcW w:w="628" w:type="dxa"/>
            <w:tcBorders/>
          </w:tcPr>
          <w:p>
            <w:pPr>
              <w:pStyle w:val="T4dispositie"/>
              <w:rPr/>
            </w:pPr>
            <w:r>
              <w:rPr/>
              <w:t>C</w:t>
            </w:r>
          </w:p>
          <w:p>
            <w:pPr>
              <w:pStyle w:val="T4dispositie"/>
              <w:rPr/>
            </w:pPr>
            <w:r>
              <w:rPr/>
              <w:t>2 2/3</w:t>
            </w:r>
          </w:p>
        </w:tc>
        <w:tc>
          <w:tcPr>
            <w:tcW w:w="619"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twee schepbalgen en handpomp (1905)</w:t>
      </w:r>
    </w:p>
    <w:p>
      <w:pPr>
        <w:pStyle w:val="T1"/>
        <w:jc w:val="start"/>
        <w:rPr/>
      </w:pPr>
      <w:r>
        <w:rPr/>
        <w:t>Winddruk</w:t>
      </w:r>
    </w:p>
    <w:p>
      <w:pPr>
        <w:pStyle w:val="T1"/>
        <w:jc w:val="start"/>
        <w:rPr/>
      </w:pPr>
      <w:r>
        <w:rPr/>
        <w:t>64 mm</w:t>
      </w:r>
    </w:p>
    <w:p>
      <w:pPr>
        <w:pStyle w:val="T1"/>
        <w:jc w:val="start"/>
        <w:rPr/>
      </w:pPr>
      <w:r>
        <w:rPr/>
      </w:r>
    </w:p>
    <w:p>
      <w:pPr>
        <w:pStyle w:val="T1"/>
        <w:jc w:val="start"/>
        <w:rPr/>
      </w:pPr>
      <w:r>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 xml:space="preserve">Het instrument is in een diepe kas geplaatst; de lade ligt overlangs zodat de slepen direct met de registertrekkers zijn verbonden. Het geheel wekt de indruk van een destijds gebruikelijk type balustradeorgel met een speeltafel aan de zijkant. </w:t>
      </w:r>
      <w:r>
        <w:rPr/>
        <w:t>Dat is hier waarschijnlijk om zomin mogelijk zitplaatst op de gaanderij te verliezen, dwars geplaatst.</w:t>
      </w:r>
    </w:p>
    <w:p>
      <w:pPr>
        <w:pStyle w:val="T1"/>
        <w:jc w:val="start"/>
        <w:rPr>
          <w:lang w:val="nl-NL"/>
        </w:rPr>
      </w:pPr>
      <w:r>
        <w:rPr>
          <w:lang w:val="nl-NL"/>
        </w:rPr>
        <w:t>In het front spreken C-A en c-gis van de Prestant 8' (middentoren, linker zijtoren en linkerveld) alsmede G-g van de Violon 8'.</w:t>
      </w:r>
    </w:p>
    <w:p>
      <w:pPr>
        <w:pStyle w:val="T1"/>
        <w:jc w:val="start"/>
        <w:rPr/>
      </w:pPr>
      <w:r>
        <w:rPr/>
        <w:t>Alle onderdelen van de klaviatuur zijn authentiek. Het handklavier is een eiken staartklavier, de ondertoetsen bezitten genageld ivoorbeleg. De registerknoppen van de sprekende registers zijn boven de lessenaar aangebracht, tremblant en ventiel bevinden zich links, respectievelijk rechts van het klavier. Alle knoppen hebben witte porseleinen naamplaatjes.</w:t>
      </w:r>
    </w:p>
    <w:p>
      <w:pPr>
        <w:pStyle w:val="T1"/>
        <w:jc w:val="start"/>
        <w:rPr/>
      </w:pPr>
      <w:r>
        <w:rPr/>
        <w:t>Het windtoestel is onder in de kas geplaatst.</w:t>
      </w:r>
    </w:p>
    <w:p>
      <w:pPr>
        <w:pStyle w:val="T1"/>
        <w:jc w:val="start"/>
        <w:rPr/>
      </w:pPr>
      <w:r>
        <w:rPr/>
        <w:t xml:space="preserve">De eiken windlade heeft mahonie stokken, eiken roosters en opliggende voorslagen. </w:t>
      </w:r>
      <w:r>
        <w:rPr>
          <w:lang w:val="nl-NL"/>
        </w:rPr>
        <w:t>De cancelvolgorde is chromatisch: dis-g</w:t>
      </w:r>
      <w:r>
        <w:rPr>
          <w:vertAlign w:val="superscript"/>
          <w:lang w:val="nl-NL"/>
        </w:rPr>
        <w:t>3</w:t>
      </w:r>
      <w:r>
        <w:rPr>
          <w:lang w:val="nl-NL"/>
        </w:rPr>
        <w:t xml:space="preserve"> d-C.</w:t>
      </w:r>
    </w:p>
    <w:p>
      <w:pPr>
        <w:pStyle w:val="T1"/>
        <w:jc w:val="start"/>
        <w:rPr/>
      </w:pPr>
      <w:r>
        <w:rPr>
          <w:lang w:val="nl-NL"/>
        </w:rPr>
        <w:t xml:space="preserve">Op het Man zijn houten pijpen toegepast bij de Bourdon 16' (C-g) en de Holpijp 8' (C-G). </w:t>
      </w:r>
      <w:r>
        <w:rPr/>
        <w:t>B en H van de Prestant 8' zijn afgevoerd geplaatste binnenpijpen, vanaf a staat het pijpwerk op de lade. De Violon 8' begint op G. Het hoogste octaaf van de Roerfluit 4' is open, conisch. De Cornet is op de lade geplaatst.</w:t>
      </w:r>
    </w:p>
    <w:p>
      <w:pPr>
        <w:pStyle w:val="T1"/>
        <w:jc w:val="start"/>
        <w:rPr/>
      </w:pPr>
      <w:r>
        <w:rPr/>
        <w:t>Expressions zijn toegepast bij alle pijpen van Prestant en Violon, en verder bij de Octaaf 4' (C-h) en de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2008-03-01T03:51:00Z</dcterms:created>
  <dc:creator>WS1</dc:creator>
  <dc:description/>
  <dc:language>en-US</dc:language>
  <cp:lastModifiedBy>NIvO</cp:lastModifiedBy>
  <dcterms:modified xsi:type="dcterms:W3CDTF">2009-09-29T11:58:00Z</dcterms:modified>
  <cp:revision>17</cp:revision>
  <dc:subject/>
  <dc:title>Olst / 1880</dc:title>
</cp:coreProperties>
</file>