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Lochem / 1910</w:t>
      </w:r>
    </w:p>
    <w:p>
      <w:pPr>
        <w:pStyle w:val="Heading2"/>
        <w:rPr>
          <w:i w:val="false"/>
          <w:i w:val="false"/>
          <w:iCs/>
        </w:rPr>
      </w:pPr>
      <w:r>
        <w:rPr>
          <w:i w:val="false"/>
          <w:iCs/>
        </w:rPr>
        <w:t>Witte Kerk</w:t>
      </w:r>
    </w:p>
    <w:p>
      <w:pPr>
        <w:pStyle w:val="T1"/>
        <w:jc w:val="start"/>
        <w:rPr>
          <w:i/>
          <w:i/>
          <w:iCs/>
          <w:lang w:val="nl-NL"/>
        </w:rPr>
      </w:pPr>
      <w:r>
        <w:rPr>
          <w:i/>
          <w:iCs/>
          <w:lang w:val="nl-NL"/>
        </w:rPr>
      </w:r>
    </w:p>
    <w:p>
      <w:pPr>
        <w:pStyle w:val="T1"/>
        <w:jc w:val="start"/>
        <w:rPr>
          <w:szCs w:val="18"/>
          <w:lang w:val="nl-NL"/>
        </w:rPr>
      </w:pPr>
      <w:r>
        <w:rPr>
          <w:i/>
          <w:iCs/>
          <w:szCs w:val="18"/>
          <w:lang w:val="nl-NL"/>
        </w:rPr>
        <w:t>Kerkgebouw in aanleg uit 1909. De zaalkerk is in 1935, 1955 en 1985 uitgebreid.</w:t>
      </w:r>
    </w:p>
    <w:p>
      <w:pPr>
        <w:pStyle w:val="T1"/>
        <w:jc w:val="start"/>
        <w:rPr>
          <w:szCs w:val="18"/>
          <w:lang w:val="nl-NL"/>
        </w:rPr>
      </w:pPr>
      <w:r>
        <w:rPr>
          <w:szCs w:val="18"/>
          <w:lang w:val="nl-NL"/>
        </w:rPr>
      </w:r>
    </w:p>
    <w:p>
      <w:pPr>
        <w:pStyle w:val="T1"/>
        <w:jc w:val="start"/>
        <w:rPr>
          <w:lang w:val="nl-NL"/>
        </w:rPr>
      </w:pPr>
      <w:r>
        <w:rPr>
          <w:lang w:val="nl-NL"/>
        </w:rPr>
        <w:t>Kas: 1910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Een monochroom wit orgel, op verfijnde wijze verguld, vijfdelig van opzet met twee hoekige pijptorens en een ronde pijptoren in het midden. De pijptorens worden ondersteund door consoles, en zijn versierd met wat elementair rankwerk aan pijpvoeten en pijpuiteinden. De tussenvelden zijn relatief breed en staan op een verhoogde pijpstok die is geprofileerd. Aan de bovenzijde worden de velden afgesloten met een flauw gebogen tootboog en een geprofileerde lijst. De vleugelstukken zijn samengesteld uit een reeks voluutvormen. Ze zijn niet opengewerkt, maar krijgen door het bladgoud toch profiel. Aan de bovenzijde is het orgel bekroond met enkele kleine sierpotten boven de tussenvelden, heel kleine vleugelstukken die de bovenzijde van de middentoren versieren. Op de drie torens opzetstukken. De bekroning van de middentoren, een reeks voluten met een kleine bloem, is vanwege het lage dak van de kerk niet op maar voor de lijst geplaatst.</w:t>
      </w:r>
    </w:p>
    <w:p>
      <w:pPr>
        <w:pStyle w:val="T1"/>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 Jongepier, </w:t>
      </w:r>
      <w:r>
        <w:rPr>
          <w:i/>
          <w:lang w:val="nl-NL"/>
        </w:rPr>
        <w:t>Vijf eeuwen Friese Orgelbouw.</w:t>
      </w:r>
      <w:r>
        <w:rPr>
          <w:lang w:val="nl-NL"/>
        </w:rPr>
        <w:t xml:space="preserve"> Leeuwarden, 2004, 166, 179.</w:t>
      </w:r>
    </w:p>
    <w:p>
      <w:pPr>
        <w:pStyle w:val="T3Lit"/>
        <w:rPr>
          <w:lang w:val="nl-NL"/>
        </w:rPr>
      </w:pPr>
      <w:r>
        <w:rPr>
          <w:lang w:val="nl-NL"/>
        </w:rPr>
        <w:t>Organist en Eredienst ........ (1978), 226.</w:t>
      </w:r>
    </w:p>
    <w:p>
      <w:pPr>
        <w:pStyle w:val="T3Lit"/>
        <w:jc w:val="start"/>
        <w:rPr/>
      </w:pPr>
      <w:r>
        <w:rPr>
          <w:i/>
          <w:lang w:val="nl-NL"/>
        </w:rPr>
        <w:t>Het Orgel</w:t>
      </w:r>
      <w:r>
        <w:rPr>
          <w:lang w:val="nl-NL"/>
        </w:rPr>
        <w:t>, 7/12 (1910), 89; 81/9 (1985), 403-404.</w:t>
      </w:r>
    </w:p>
    <w:p>
      <w:pPr>
        <w:pStyle w:val="T3Lit"/>
        <w:jc w:val="start"/>
        <w:rPr>
          <w:bCs/>
          <w:lang w:val="nl-NL"/>
        </w:rPr>
      </w:pPr>
      <w:r>
        <w:rPr>
          <w:bCs/>
          <w:lang w:val="nl-NL"/>
        </w:rPr>
      </w:r>
    </w:p>
    <w:p>
      <w:pPr>
        <w:pStyle w:val="T3Lit"/>
        <w:jc w:val="start"/>
        <w:rPr>
          <w:bCs/>
          <w:lang w:val="nl-NL"/>
        </w:rPr>
      </w:pPr>
      <w:r>
        <w:rPr>
          <w:bCs/>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A.S.J. Dekker</w:t>
      </w:r>
    </w:p>
    <w:p>
      <w:pPr>
        <w:pStyle w:val="T1"/>
        <w:jc w:val="start"/>
        <w:rPr>
          <w:lang w:val="nl-NL"/>
        </w:rPr>
      </w:pPr>
      <w:r>
        <w:rPr>
          <w:lang w:val="nl-NL"/>
        </w:rPr>
        <w:t>2. Gebr. Reil</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1. 1910</w:t>
      </w:r>
    </w:p>
    <w:p>
      <w:pPr>
        <w:pStyle w:val="T1"/>
        <w:rPr>
          <w:lang w:val="nl-NL"/>
        </w:rPr>
      </w:pPr>
      <w:r>
        <w:rPr>
          <w:lang w:val="nl-NL"/>
        </w:rPr>
        <w:t>2. 1982</w:t>
      </w:r>
    </w:p>
    <w:p>
      <w:pPr>
        <w:pStyle w:val="T1"/>
        <w:rPr>
          <w:lang w:val="nl-NL"/>
        </w:rPr>
      </w:pPr>
      <w:r>
        <w:rPr>
          <w:lang w:val="nl-NL"/>
        </w:rPr>
      </w:r>
    </w:p>
    <w:p>
      <w:pPr>
        <w:pStyle w:val="T1"/>
        <w:rPr>
          <w:lang w:val="nl-NL"/>
        </w:rPr>
      </w:pPr>
      <w:r>
        <w:rPr>
          <w:lang w:val="nl-NL"/>
        </w:rPr>
        <w:t>Oorspronkelijke locatie</w:t>
      </w:r>
    </w:p>
    <w:p>
      <w:pPr>
        <w:pStyle w:val="T1"/>
        <w:rPr>
          <w:lang w:val="nl-NL"/>
        </w:rPr>
      </w:pPr>
      <w:r>
        <w:rPr>
          <w:lang w:val="nl-NL"/>
        </w:rPr>
        <w:t>Boksum, Gereformeerde Kerk</w:t>
      </w:r>
    </w:p>
    <w:p>
      <w:pPr>
        <w:pStyle w:val="T1"/>
        <w:rPr>
          <w:lang w:val="nl-NL"/>
        </w:rPr>
      </w:pPr>
      <w:r>
        <w:rPr>
          <w:lang w:val="nl-NL"/>
        </w:rPr>
      </w:r>
    </w:p>
    <w:p>
      <w:pPr>
        <w:pStyle w:val="T1"/>
        <w:rPr/>
      </w:pPr>
      <w:r>
        <w:rPr/>
        <w:t>Dispositie 1978</w:t>
      </w:r>
    </w:p>
    <w:tbl>
      <w:tblPr>
        <w:tblW w:w="3152" w:type="dxa"/>
        <w:jc w:val="start"/>
        <w:tblInd w:w="-70" w:type="dxa"/>
        <w:tblLayout w:type="fixed"/>
        <w:tblCellMar>
          <w:top w:w="0" w:type="dxa"/>
          <w:start w:w="70" w:type="dxa"/>
          <w:bottom w:w="0" w:type="dxa"/>
          <w:end w:w="70" w:type="dxa"/>
        </w:tblCellMar>
      </w:tblPr>
      <w:tblGrid>
        <w:gridCol w:w="1084"/>
        <w:gridCol w:w="556"/>
        <w:gridCol w:w="917"/>
        <w:gridCol w:w="595"/>
      </w:tblGrid>
      <w:tr>
        <w:trPr/>
        <w:tc>
          <w:tcPr>
            <w:tcW w:w="1084" w:type="dxa"/>
            <w:tcBorders/>
          </w:tcPr>
          <w:p>
            <w:pPr>
              <w:pStyle w:val="T4dispositie"/>
              <w:rPr>
                <w:i/>
                <w:i/>
                <w:iCs/>
                <w:lang w:val="nl-NL"/>
              </w:rPr>
            </w:pPr>
            <w:r>
              <w:rPr>
                <w:i/>
                <w:iCs/>
                <w:lang w:val="nl-NL"/>
              </w:rPr>
              <w:t>Manuaal</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Salicionaal</w:t>
            </w:r>
          </w:p>
          <w:p>
            <w:pPr>
              <w:pStyle w:val="T4dispositie"/>
              <w:rPr>
                <w:lang w:val="nl-NL"/>
              </w:rPr>
            </w:pPr>
            <w:r>
              <w:rPr>
                <w:lang w:val="nl-NL"/>
              </w:rPr>
              <w:t>Octaaf</w:t>
            </w:r>
          </w:p>
          <w:p>
            <w:pPr>
              <w:pStyle w:val="T4dispositie"/>
              <w:rPr>
                <w:lang w:val="nl-NL"/>
              </w:rPr>
            </w:pPr>
            <w:r>
              <w:rPr>
                <w:lang w:val="nl-NL"/>
              </w:rPr>
              <w:t>Speelfluit</w:t>
            </w:r>
          </w:p>
          <w:p>
            <w:pPr>
              <w:pStyle w:val="T4dispositie"/>
              <w:rPr>
                <w:lang w:val="nl-NL"/>
              </w:rPr>
            </w:pPr>
            <w:r>
              <w:rPr>
                <w:lang w:val="nl-NL"/>
              </w:rPr>
              <w:t>Octaaf</w:t>
            </w:r>
          </w:p>
          <w:p>
            <w:pPr>
              <w:pStyle w:val="T4dispositie"/>
              <w:rPr>
                <w:lang w:val="nl-NL"/>
              </w:rPr>
            </w:pPr>
            <w:r>
              <w:rPr>
                <w:lang w:val="nl-NL"/>
              </w:rPr>
              <w:t>Cornet</w:t>
            </w:r>
          </w:p>
        </w:tc>
        <w:tc>
          <w:tcPr>
            <w:tcW w:w="556"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tc>
        <w:tc>
          <w:tcPr>
            <w:tcW w:w="917" w:type="dxa"/>
            <w:tcBorders/>
          </w:tcPr>
          <w:p>
            <w:pPr>
              <w:pStyle w:val="T4dispositie"/>
              <w:rPr>
                <w:i/>
                <w:i/>
                <w:iCs/>
                <w:lang w:val="nl-NL"/>
              </w:rPr>
            </w:pPr>
            <w:r>
              <w:rPr>
                <w:i/>
                <w:iCs/>
                <w:lang w:val="nl-NL"/>
              </w:rPr>
              <w:t>Pedaal</w:t>
            </w:r>
          </w:p>
          <w:p>
            <w:pPr>
              <w:pStyle w:val="T4dispositie"/>
              <w:rPr>
                <w:lang w:val="nl-NL"/>
              </w:rPr>
            </w:pPr>
            <w:r>
              <w:rPr>
                <w:lang w:val="nl-NL"/>
              </w:rPr>
              <w:t>Bourdon</w:t>
            </w:r>
          </w:p>
        </w:tc>
        <w:tc>
          <w:tcPr>
            <w:tcW w:w="595" w:type="dxa"/>
            <w:tcBorders/>
          </w:tcPr>
          <w:p>
            <w:pPr>
              <w:pStyle w:val="T4dispositie"/>
              <w:snapToGrid w:val="false"/>
              <w:rPr>
                <w:lang w:val="nl-NL"/>
              </w:rPr>
            </w:pPr>
            <w:r>
              <w:rPr>
                <w:lang w:val="nl-NL"/>
              </w:rPr>
            </w:r>
          </w:p>
          <w:p>
            <w:pPr>
              <w:pStyle w:val="T4dispositie"/>
              <w:rPr>
                <w:lang w:val="nl-NL"/>
              </w:rPr>
            </w:pPr>
            <w:r>
              <w:rPr>
                <w:lang w:val="nl-NL"/>
              </w:rPr>
              <w:t>16 tr</w:t>
            </w:r>
          </w:p>
        </w:tc>
      </w:tr>
    </w:tbl>
    <w:p>
      <w:pPr>
        <w:pStyle w:val="T4dispositie"/>
        <w:rPr>
          <w:lang w:val="nl-NL"/>
        </w:rPr>
      </w:pPr>
      <w:r>
        <w:rPr>
          <w:lang w:val="nl-NL"/>
        </w:rPr>
      </w:r>
    </w:p>
    <w:p>
      <w:pPr>
        <w:pStyle w:val="T4dispositie"/>
        <w:rPr>
          <w:lang w:val="nl-NL"/>
        </w:rPr>
      </w:pPr>
      <w:r>
        <w:rPr>
          <w:lang w:val="nl-NL"/>
        </w:rPr>
        <w:t>pneumatische tractuur</w:t>
      </w:r>
    </w:p>
    <w:p>
      <w:pPr>
        <w:pStyle w:val="T4dispositie"/>
        <w:rPr>
          <w:sz w:val="24"/>
          <w:szCs w:val="24"/>
          <w:lang w:val="nl-NL"/>
        </w:rPr>
      </w:pPr>
      <w:r>
        <w:rPr>
          <w:sz w:val="24"/>
          <w:szCs w:val="24"/>
          <w:lang w:val="nl-NL"/>
        </w:rPr>
      </w:r>
    </w:p>
    <w:p>
      <w:pPr>
        <w:pStyle w:val="T4dispositie"/>
        <w:rPr>
          <w:sz w:val="24"/>
          <w:szCs w:val="24"/>
          <w:lang w:val="nl-NL"/>
        </w:rPr>
      </w:pPr>
      <w:r>
        <w:rPr>
          <w:sz w:val="24"/>
          <w:szCs w:val="24"/>
          <w:lang w:val="nl-NL"/>
        </w:rPr>
        <w:t>Gebr. Reil 1982</w:t>
      </w:r>
    </w:p>
    <w:p>
      <w:pPr>
        <w:pStyle w:val="T4dispositie"/>
        <w:rPr>
          <w:sz w:val="24"/>
          <w:szCs w:val="24"/>
          <w:lang w:val="nl-NL"/>
        </w:rPr>
      </w:pPr>
      <w:r>
        <w:rPr>
          <w:sz w:val="24"/>
          <w:szCs w:val="24"/>
          <w:lang w:val="nl-NL"/>
        </w:rPr>
        <w:t>.</w:t>
        <w:tab/>
        <w:t>nieuw orgel in oude kas</w:t>
      </w:r>
    </w:p>
    <w:p>
      <w:pPr>
        <w:pStyle w:val="T4dispositie"/>
        <w:rPr>
          <w:sz w:val="24"/>
          <w:szCs w:val="24"/>
          <w:lang w:val="nl-NL"/>
        </w:rPr>
      </w:pPr>
      <w:r>
        <w:rPr>
          <w:sz w:val="24"/>
          <w:szCs w:val="24"/>
          <w:lang w:val="nl-NL"/>
        </w:rPr>
        <w:t>.</w:t>
        <w:tab/>
        <w:t>diepte orgel;kas gereduceerd; nieuwe achterwand gemaakt</w:t>
      </w:r>
    </w:p>
    <w:p>
      <w:pPr>
        <w:pStyle w:val="T4dispositie"/>
        <w:rPr>
          <w:sz w:val="24"/>
          <w:szCs w:val="24"/>
          <w:lang w:val="nl-NL"/>
        </w:rPr>
      </w:pPr>
      <w:r>
        <w:rPr>
          <w:sz w:val="24"/>
          <w:szCs w:val="24"/>
          <w:lang w:val="nl-NL"/>
        </w:rPr>
      </w:r>
    </w:p>
    <w:p>
      <w:pPr>
        <w:pStyle w:val="T4dispositie"/>
        <w:rPr>
          <w:sz w:val="24"/>
          <w:szCs w:val="24"/>
          <w:lang w:val="nl-NL"/>
        </w:rPr>
      </w:pPr>
      <w:r>
        <w:rPr>
          <w:sz w:val="24"/>
          <w:szCs w:val="24"/>
          <w:lang w:val="nl-NL"/>
        </w:rPr>
        <w:t>Orgelmakerij Gebr. Reil 2005</w:t>
      </w:r>
    </w:p>
    <w:p>
      <w:pPr>
        <w:pStyle w:val="T4dispositie"/>
        <w:rPr>
          <w:sz w:val="24"/>
          <w:szCs w:val="24"/>
          <w:lang w:val="nl-NL"/>
        </w:rPr>
      </w:pPr>
      <w:r>
        <w:rPr>
          <w:sz w:val="24"/>
          <w:szCs w:val="24"/>
          <w:lang w:val="nl-NL"/>
        </w:rPr>
        <w:t>.</w:t>
        <w:tab/>
        <w:t>orgel overgeplaatst naar Lochem, Witte Kerk</w:t>
      </w:r>
    </w:p>
    <w:p>
      <w:pPr>
        <w:pStyle w:val="T4dispositie"/>
        <w:rPr>
          <w:sz w:val="24"/>
          <w:szCs w:val="24"/>
          <w:lang w:val="nl-NL"/>
        </w:rPr>
      </w:pPr>
      <w:r>
        <w:rPr>
          <w:sz w:val="24"/>
          <w:szCs w:val="24"/>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550" w:type="dxa"/>
        <w:jc w:val="start"/>
        <w:tblInd w:w="-70" w:type="dxa"/>
        <w:tblLayout w:type="fixed"/>
        <w:tblCellMar>
          <w:top w:w="0" w:type="dxa"/>
          <w:start w:w="70" w:type="dxa"/>
          <w:bottom w:w="0" w:type="dxa"/>
          <w:end w:w="70" w:type="dxa"/>
        </w:tblCellMar>
      </w:tblPr>
      <w:tblGrid>
        <w:gridCol w:w="1330"/>
        <w:gridCol w:w="720"/>
        <w:gridCol w:w="1440"/>
        <w:gridCol w:w="687"/>
        <w:gridCol w:w="1473"/>
        <w:gridCol w:w="90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Mixtuur</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3-5 st.</w:t>
            </w:r>
          </w:p>
        </w:tc>
        <w:tc>
          <w:tcPr>
            <w:tcW w:w="1440" w:type="dxa"/>
            <w:tcBorders/>
          </w:tcPr>
          <w:p>
            <w:pPr>
              <w:pStyle w:val="T4dispositie"/>
              <w:rPr>
                <w:i/>
                <w:i/>
                <w:iCs/>
                <w:lang w:val="nl-NL"/>
              </w:rPr>
            </w:pPr>
            <w:r>
              <w:rPr>
                <w:i/>
                <w:iCs/>
                <w:lang w:val="nl-NL"/>
              </w:rPr>
              <w:t>Nevenwerk (II)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Dulciaan</w:t>
            </w:r>
          </w:p>
        </w:tc>
        <w:tc>
          <w:tcPr>
            <w:tcW w:w="687"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 (tr)</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8'</w:t>
            </w:r>
          </w:p>
        </w:tc>
        <w:tc>
          <w:tcPr>
            <w:tcW w:w="1473" w:type="dxa"/>
            <w:tcBorders/>
          </w:tcPr>
          <w:p>
            <w:pPr>
              <w:pStyle w:val="T4dispositie"/>
              <w:rPr>
                <w:lang w:val="nl-NL"/>
              </w:rPr>
            </w:pPr>
            <w:r>
              <w:rPr>
                <w:i/>
                <w:iCs/>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Subbas</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tc>
      </w:tr>
    </w:tbl>
    <w:p>
      <w:pPr>
        <w:pStyle w:val="T1"/>
        <w:jc w:val="start"/>
        <w:rPr>
          <w:sz w:val="20"/>
          <w:lang w:val="nl-NL"/>
        </w:rPr>
      </w:pPr>
      <w:r>
        <w:rPr>
          <w:sz w:val="20"/>
          <w:lang w:val="nl-NL"/>
        </w:rPr>
      </w:r>
    </w:p>
    <w:p>
      <w:pPr>
        <w:pStyle w:val="T1"/>
        <w:jc w:val="start"/>
        <w:rPr>
          <w:lang w:val="nl-NL"/>
        </w:rPr>
      </w:pPr>
      <w:r>
        <w:rPr>
          <w:lang w:val="nl-NL"/>
        </w:rPr>
        <w:t>Werktuiglijke registers</w:t>
      </w:r>
    </w:p>
    <w:p>
      <w:pPr>
        <w:pStyle w:val="T1"/>
        <w:jc w:val="start"/>
        <w:rPr>
          <w:lang w:val="nl-NL"/>
        </w:rPr>
      </w:pPr>
      <w:r>
        <w:rPr>
          <w:lang w:val="nl-NL"/>
        </w:rPr>
        <w:t>koppelingen manuaalkoppel, pedaalkoppel I, pedaalkoppel II</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w:t>
      </w:r>
    </w:p>
    <w:tbl>
      <w:tblPr>
        <w:tblW w:w="3822" w:type="dxa"/>
        <w:jc w:val="start"/>
        <w:tblInd w:w="-70" w:type="dxa"/>
        <w:tblLayout w:type="fixed"/>
        <w:tblCellMar>
          <w:top w:w="0" w:type="dxa"/>
          <w:start w:w="70" w:type="dxa"/>
          <w:bottom w:w="0" w:type="dxa"/>
          <w:end w:w="70" w:type="dxa"/>
        </w:tblCellMar>
      </w:tblPr>
      <w:tblGrid>
        <w:gridCol w:w="906"/>
        <w:gridCol w:w="729"/>
        <w:gridCol w:w="729"/>
        <w:gridCol w:w="729"/>
        <w:gridCol w:w="729"/>
      </w:tblGrid>
      <w:tr>
        <w:trPr/>
        <w:tc>
          <w:tcPr>
            <w:tcW w:w="906" w:type="dxa"/>
            <w:tcBorders/>
          </w:tcPr>
          <w:p>
            <w:pPr>
              <w:pStyle w:val="T1"/>
              <w:jc w:val="start"/>
              <w:rPr>
                <w:lang w:val="nl-NL"/>
              </w:rPr>
            </w:pPr>
            <w:r>
              <w:rPr>
                <w:lang w:val="nl-NL"/>
              </w:rPr>
              <w:t>Mixtuur</w:t>
            </w:r>
          </w:p>
        </w:tc>
        <w:tc>
          <w:tcPr>
            <w:tcW w:w="729"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9"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442 Hz</w:t>
      </w:r>
    </w:p>
    <w:p>
      <w:pPr>
        <w:pStyle w:val="T1"/>
        <w:jc w:val="start"/>
        <w:rPr>
          <w:lang w:val="nl-NL"/>
        </w:rPr>
      </w:pPr>
      <w:r>
        <w:rPr>
          <w:lang w:val="nl-NL"/>
        </w:rPr>
        <w:t>Temperatuur</w:t>
      </w:r>
    </w:p>
    <w:p>
      <w:pPr>
        <w:pStyle w:val="T1"/>
        <w:jc w:val="start"/>
        <w:rPr>
          <w:lang w:val="nl-NL"/>
        </w:rPr>
      </w:pPr>
      <w:r>
        <w:rPr>
          <w:lang w:val="nl-NL"/>
        </w:rPr>
        <w:t>Neidhardt I</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70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orgelkas is van naaldhout, compleet met dak en achterwand. De versiering die in Boxum (Boksum) op het orgel stond is hier wegens geringe hoogte van de kerk tegen de bovenlijst aangebracht.</w:t>
      </w:r>
    </w:p>
    <w:p>
      <w:pPr>
        <w:pStyle w:val="T1"/>
        <w:jc w:val="start"/>
        <w:rPr>
          <w:lang w:val="nl-NL"/>
        </w:rPr>
      </w:pPr>
      <w:r>
        <w:rPr>
          <w:lang w:val="nl-NL"/>
        </w:rPr>
        <w:t>De magazijnbalg bevindt zich onder de lade.</w:t>
      </w:r>
    </w:p>
    <w:p>
      <w:pPr>
        <w:pStyle w:val="T1"/>
        <w:jc w:val="start"/>
        <w:rPr>
          <w:lang w:val="nl-NL"/>
        </w:rPr>
      </w:pPr>
      <w:r>
        <w:rPr>
          <w:lang w:val="nl-NL"/>
        </w:rPr>
        <w:t>De handklavieren hebben zwarte ondertoetsen en lichte boventoetsen.</w:t>
      </w:r>
    </w:p>
    <w:p>
      <w:pPr>
        <w:pStyle w:val="T1"/>
        <w:jc w:val="start"/>
        <w:rPr/>
      </w:pPr>
      <w:r>
        <w:rPr>
          <w:lang w:val="nl-NL"/>
        </w:rPr>
        <w:t>Er is één niet-gedeelde lade met 108 ventielen naast elkaar (54 voor elk manuaal, grotendeels om en om). Derhalve zijn er twee wellenramen onder de lade aangebracht. De indeling voor beide manualen is niet geheel gelijk. Man I: in het midden de cancellen voor het groot octaaf vanuit het midden naar weerszijden aflopend, daarna in de torens aan de zijkanten c-cis</w:t>
      </w:r>
      <w:r>
        <w:rPr>
          <w:vertAlign w:val="superscript"/>
          <w:lang w:val="nl-NL"/>
        </w:rPr>
        <w:t>1</w:t>
      </w:r>
      <w:r>
        <w:rPr>
          <w:lang w:val="nl-NL"/>
        </w:rPr>
        <w:t xml:space="preserve"> in tertsopstelling. Tussen de torens de overige 28 pijpen in twee vakken in tertsopstelling. Bij Man II de drie torens als bij Man I daartussen van binnen naar buiten: aan elke zijde zes cancellen in tertsopstelling, gevolgd door cancellen voor de acht kleinste pijpen in hele tonen. De pedaallade bevindt zich aan de rechterzijkant.</w:t>
      </w:r>
    </w:p>
    <w:p>
      <w:pPr>
        <w:pStyle w:val="T1"/>
        <w:jc w:val="start"/>
        <w:rPr/>
      </w:pPr>
      <w:r>
        <w:rPr>
          <w:lang w:val="nl-NL"/>
        </w:rPr>
        <w:t>De 15 frontpijpen in de drie torens zijn sprekend vanaf C. Van de pijpen in de tussenvelden zijn er zeven sprekend. Van de Prestant 8' staan verder nog vier pijpen tussen de lade en het front; vanaf d</w:t>
      </w:r>
      <w:r>
        <w:rPr>
          <w:vertAlign w:val="superscript"/>
          <w:lang w:val="nl-NL"/>
        </w:rPr>
        <w:t>1</w:t>
      </w:r>
      <w:r>
        <w:rPr>
          <w:lang w:val="nl-NL"/>
        </w:rPr>
        <w:t xml:space="preserve"> staat het register op de lade. De Holpijp 8 is geheel van metaal, dichtgesoldeerd en fungeert op beide klavieren. Het hoogste octaaf van de Fluit 4 (Man II) is open, conisch. De Dulciaan 8 heeft eiken stevels en koppen. De Subbas 16 is van grenen. Dit orgel is - wat de dispositie betreft - een verkleinde versie van een door Reil enige malen gemaakt type, waarvan het orgel in de Ontmoetingskerk te Dieren het eerste instrument was.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Arial Unicode MS">
    <w:charset w:val="80"/>
    <w:family w:val="swiss"/>
    <w:pitch w:val="variable"/>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paragraph" w:styleId="Heading5">
    <w:name w:val="Heading 5"/>
    <w:basedOn w:val="Normal"/>
    <w:next w:val="TextBody"/>
    <w:qFormat/>
    <w:pPr>
      <w:widowControl/>
      <w:numPr>
        <w:ilvl w:val="4"/>
        <w:numId w:val="1"/>
      </w:numPr>
      <w:spacing w:before="280" w:after="280"/>
      <w:outlineLvl w:val="4"/>
    </w:pPr>
    <w:rPr>
      <w:rFonts w:ascii="Arial Unicode MS" w:hAnsi="Arial Unicode MS" w:eastAsia="Arial Unicode MS" w:cs="Arial Unicode MS"/>
      <w:b/>
      <w:bCs/>
      <w:sz w:val="20"/>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Standaardalinealettertype">
    <w:name w:val="Standaardalinea-lettertype"/>
    <w:qFormat/>
    <w:rPr/>
  </w:style>
  <w:style w:type="character" w:styleId="InternetLink">
    <w:name w:val="Hyperlink"/>
    <w:basedOn w:val="Standaardalinealettertype"/>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153</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2008-03-07T18:03:00Z</dcterms:created>
  <dc:creator>WS1</dc:creator>
  <dc:description/>
  <dc:language>en-US</dc:language>
  <cp:lastModifiedBy>NIvO</cp:lastModifiedBy>
  <dcterms:modified xsi:type="dcterms:W3CDTF">2009-07-27T12:56:00Z</dcterms:modified>
  <cp:revision>14</cp:revision>
  <dc:subject/>
  <dc:title>Gaast / 1860</dc:title>
</cp:coreProperties>
</file>