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Lutten / 1902</w:t>
      </w:r>
    </w:p>
    <w:p>
      <w:pPr>
        <w:pStyle w:val="Heading2"/>
        <w:rPr>
          <w:i w:val="false"/>
          <w:i w:val="false"/>
          <w:iCs/>
        </w:rPr>
      </w:pPr>
      <w:r>
        <w:rPr>
          <w:i w:val="false"/>
          <w:iCs/>
        </w:rPr>
        <w:t>Gereformeerde Kerk Vrijgemaakt ‘De Opgang’</w:t>
      </w:r>
    </w:p>
    <w:p>
      <w:pPr>
        <w:pStyle w:val="T1"/>
        <w:jc w:val="start"/>
        <w:rPr>
          <w:i/>
          <w:i/>
          <w:iCs/>
          <w:lang w:val="nl-NL"/>
        </w:rPr>
      </w:pPr>
      <w:r>
        <w:rPr>
          <w:i/>
          <w:iCs/>
          <w:lang w:val="nl-NL"/>
        </w:rPr>
      </w:r>
    </w:p>
    <w:p>
      <w:pPr>
        <w:pStyle w:val="T1"/>
        <w:jc w:val="start"/>
        <w:rPr>
          <w:lang w:val="nl-NL"/>
        </w:rPr>
      </w:pPr>
      <w:r>
        <w:rPr>
          <w:lang w:val="nl-NL"/>
        </w:rPr>
        <w:t>Kas: 1902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zeer eenvoudig driedelig front, met pijpwerk dat boven het lijstwerk uitsteekt. Boven- en onderkas zijn door profileringen en inkassingen van het lijstwerk een duidelijke eenheid. Te zien zijn een breed pijpveld in het midden met een recht verloop van de labia. Het wordt bijeengehouden door een lijst met een flauwe rondboog. De zwikken van de boog zijn open. Daarnaast twee smallere pijpvelden met de labia in een omgekeerde V-vorm. Het lijstwerk steekt uit, net als het pijpwerk. Bij het centrale pijpveld is dit deel van het lijstwerk nog versierd met een triglief en een cirkel met punt. Daarboven, net als bij de andere lijstuiteinden, kleine hoekige torens met frontons.</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i/>
          <w:i/>
          <w:lang w:val="nl-NL"/>
        </w:rPr>
      </w:pPr>
      <w:r>
        <w:rPr>
          <w:i/>
          <w:lang w:val="nl-NL"/>
        </w:rPr>
        <w:t>De Orgelvriend</w:t>
      </w:r>
      <w:r>
        <w:rPr>
          <w:lang w:val="nl-NL"/>
        </w:rPr>
        <w:t>,</w:t>
      </w:r>
      <w:r>
        <w:rPr>
          <w:i/>
          <w:lang w:val="nl-NL"/>
        </w:rPr>
        <w:t xml:space="preserve"> </w:t>
      </w:r>
      <w:r>
        <w:rPr>
          <w:lang w:val="nl-NL"/>
        </w:rPr>
        <w:t>43/10 (2001), ..</w:t>
      </w:r>
    </w:p>
    <w:p>
      <w:pPr>
        <w:pStyle w:val="T3Lit"/>
        <w:jc w:val="start"/>
        <w:rPr>
          <w:i/>
          <w:i/>
          <w:lang w:val="nl-NL"/>
        </w:rPr>
      </w:pPr>
      <w:r>
        <w:rPr>
          <w:i/>
          <w:lang w:val="nl-NL"/>
        </w:rPr>
      </w:r>
    </w:p>
    <w:p>
      <w:pPr>
        <w:pStyle w:val="T3Lit"/>
        <w:jc w:val="start"/>
        <w:rPr>
          <w:lang w:val="nl-NL"/>
        </w:rPr>
      </w:pPr>
      <w:r>
        <w:rPr>
          <w:b/>
          <w:bCs/>
          <w:lang w:val="nl-NL"/>
        </w:rPr>
        <w:t>Niet gepubliceerde bron</w:t>
      </w:r>
    </w:p>
    <w:p>
      <w:pPr>
        <w:pStyle w:val="T3Lit"/>
        <w:jc w:val="start"/>
        <w:rPr>
          <w:lang w:val="nl-NL"/>
        </w:rPr>
      </w:pPr>
      <w:r>
        <w:rPr>
          <w:lang w:val="nl-NL"/>
        </w:rPr>
        <w:t>Informatie verstrekt door dhr. Lamberink.</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Andrew Watt &amp; Son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1902</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szCs w:val="24"/>
          <w:lang w:val="nl-NL"/>
        </w:rPr>
        <w:t>Free Presbyterian Church, Erskine, Bishopton (Schotland))</w:t>
      </w:r>
    </w:p>
    <w:p>
      <w:pPr>
        <w:pStyle w:val="T1"/>
        <w:jc w:val="start"/>
        <w:rPr>
          <w:lang w:val="nl-NL"/>
        </w:rPr>
      </w:pPr>
      <w:r>
        <w:rPr>
          <w:lang w:val="nl-NL"/>
        </w:rPr>
      </w:r>
    </w:p>
    <w:p>
      <w:pPr>
        <w:pStyle w:val="T1"/>
        <w:jc w:val="start"/>
        <w:rPr>
          <w:lang w:val="nl-NL"/>
        </w:rPr>
      </w:pPr>
      <w:r>
        <w:rPr>
          <w:lang w:val="nl-NL"/>
        </w:rPr>
        <w:t>1996</w:t>
      </w:r>
    </w:p>
    <w:p>
      <w:pPr>
        <w:pStyle w:val="T1"/>
        <w:jc w:val="start"/>
        <w:rPr>
          <w:lang w:val="nl-NL"/>
        </w:rPr>
      </w:pPr>
      <w:r>
        <w:rPr>
          <w:lang w:val="nl-NL"/>
        </w:rPr>
        <w:t>.</w:t>
        <w:tab/>
        <w:t>orgel aangekocht door F.R. Feenstra</w:t>
      </w:r>
    </w:p>
    <w:p>
      <w:pPr>
        <w:pStyle w:val="T1"/>
        <w:jc w:val="start"/>
        <w:rPr>
          <w:lang w:val="nl-NL"/>
        </w:rPr>
      </w:pPr>
      <w:r>
        <w:rPr>
          <w:lang w:val="nl-NL"/>
        </w:rPr>
      </w:r>
    </w:p>
    <w:p>
      <w:pPr>
        <w:pStyle w:val="T1"/>
        <w:jc w:val="start"/>
        <w:rPr>
          <w:lang w:val="nl-NL"/>
        </w:rPr>
      </w:pPr>
      <w:r>
        <w:rPr>
          <w:lang w:val="nl-NL"/>
        </w:rPr>
        <w:t>E.H. Lamberink 1999</w:t>
      </w:r>
    </w:p>
    <w:p>
      <w:pPr>
        <w:pStyle w:val="T1"/>
        <w:jc w:val="start"/>
        <w:rPr>
          <w:lang w:val="nl-NL"/>
        </w:rPr>
      </w:pPr>
      <w:r>
        <w:rPr>
          <w:lang w:val="nl-NL"/>
        </w:rPr>
        <w:t>.</w:t>
        <w:tab/>
        <w:t>orgel gerestaureerd en geplaatst in Lutten, Gereformeerde Kerk Vrijgemaakt</w:t>
      </w:r>
    </w:p>
    <w:p>
      <w:pPr>
        <w:pStyle w:val="T1"/>
        <w:jc w:val="start"/>
        <w:rPr>
          <w:lang w:val="nl-NL"/>
        </w:rPr>
      </w:pPr>
      <w:r>
        <w:rPr>
          <w:lang w:val="nl-NL"/>
        </w:rPr>
        <w:t>.</w:t>
        <w:tab/>
        <w:t>Great - Dulciana 8', + Mixture 3-4 r., + Fifteenth 2' op kantsleep</w:t>
      </w:r>
    </w:p>
    <w:p>
      <w:pPr>
        <w:pStyle w:val="T1"/>
        <w:jc w:val="start"/>
        <w:rPr>
          <w:lang w:val="nl-NL"/>
        </w:rPr>
      </w:pPr>
      <w:r>
        <w:rPr>
          <w:lang w:val="nl-NL"/>
        </w:rPr>
        <w:tab/>
        <w:t>Swell + Sesquialtera 2 r. op kantsleep</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swell, pedal</w:t>
      </w:r>
    </w:p>
    <w:p>
      <w:pPr>
        <w:pStyle w:val="T1"/>
        <w:jc w:val="start"/>
        <w:rPr>
          <w:lang w:val="nl-NL"/>
        </w:rPr>
      </w:pPr>
      <w:r>
        <w:rPr>
          <w:lang w:val="nl-NL"/>
        </w:rPr>
      </w:r>
    </w:p>
    <w:p>
      <w:pPr>
        <w:pStyle w:val="T1"/>
        <w:jc w:val="start"/>
        <w:rPr/>
      </w:pPr>
      <w:r>
        <w:rPr/>
        <w:t>Dispositie</w:t>
      </w:r>
    </w:p>
    <w:tbl>
      <w:tblPr>
        <w:tblW w:w="7270" w:type="dxa"/>
        <w:jc w:val="start"/>
        <w:tblInd w:w="-70" w:type="dxa"/>
        <w:tblLayout w:type="fixed"/>
        <w:tblCellMar>
          <w:top w:w="0" w:type="dxa"/>
          <w:start w:w="70" w:type="dxa"/>
          <w:bottom w:w="0" w:type="dxa"/>
          <w:end w:w="70" w:type="dxa"/>
        </w:tblCellMar>
      </w:tblPr>
      <w:tblGrid>
        <w:gridCol w:w="1870"/>
        <w:gridCol w:w="720"/>
        <w:gridCol w:w="1620"/>
        <w:gridCol w:w="631"/>
        <w:gridCol w:w="1643"/>
        <w:gridCol w:w="786"/>
      </w:tblGrid>
      <w:tr>
        <w:trPr/>
        <w:tc>
          <w:tcPr>
            <w:tcW w:w="1870" w:type="dxa"/>
            <w:tcBorders/>
          </w:tcPr>
          <w:p>
            <w:pPr>
              <w:pStyle w:val="T4dispositie"/>
              <w:jc w:val="start"/>
              <w:rPr>
                <w:i/>
                <w:i/>
                <w:iCs/>
                <w:lang w:val="nl-NL"/>
              </w:rPr>
            </w:pPr>
            <w:r>
              <w:rPr>
                <w:i/>
                <w:iCs/>
                <w:lang w:val="nl-NL"/>
              </w:rPr>
              <w:t>Great (I)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Clarabella</w:t>
            </w:r>
          </w:p>
          <w:p>
            <w:pPr>
              <w:pStyle w:val="T4dispositie"/>
              <w:jc w:val="start"/>
              <w:rPr>
                <w:lang w:val="nl-NL"/>
              </w:rPr>
            </w:pPr>
            <w:r>
              <w:rPr>
                <w:lang w:val="nl-NL"/>
              </w:rPr>
              <w:t>Principal</w:t>
            </w:r>
          </w:p>
          <w:p>
            <w:pPr>
              <w:pStyle w:val="T4dispositie"/>
              <w:jc w:val="start"/>
              <w:rPr>
                <w:lang w:val="nl-NL"/>
              </w:rPr>
            </w:pPr>
            <w:r>
              <w:rPr>
                <w:lang w:val="nl-NL"/>
              </w:rPr>
              <w:t>Fifteenth</w:t>
            </w:r>
          </w:p>
          <w:p>
            <w:pPr>
              <w:pStyle w:val="T4dispositie"/>
              <w:jc w:val="start"/>
              <w:rPr>
                <w:lang w:val="nl-NL"/>
              </w:rPr>
            </w:pPr>
            <w:r>
              <w:rPr>
                <w:lang w:val="nl-NL"/>
              </w:rPr>
              <w:t>Mixture</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[3-4 r.]</w:t>
            </w:r>
          </w:p>
        </w:tc>
        <w:tc>
          <w:tcPr>
            <w:tcW w:w="1620" w:type="dxa"/>
            <w:tcBorders/>
          </w:tcPr>
          <w:p>
            <w:pPr>
              <w:pStyle w:val="T4dispositie"/>
              <w:jc w:val="start"/>
              <w:rPr>
                <w:i/>
                <w:i/>
                <w:iCs/>
                <w:lang w:val="nl-NL"/>
              </w:rPr>
            </w:pPr>
            <w:r>
              <w:rPr>
                <w:i/>
                <w:iCs/>
                <w:lang w:val="nl-NL"/>
              </w:rPr>
              <w:t>Swell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Lieblich Gedackt</w:t>
            </w:r>
          </w:p>
          <w:p>
            <w:pPr>
              <w:pStyle w:val="T4dispositie"/>
              <w:jc w:val="start"/>
              <w:rPr>
                <w:lang w:val="nl-NL"/>
              </w:rPr>
            </w:pPr>
            <w:r>
              <w:rPr>
                <w:lang w:val="nl-NL"/>
              </w:rPr>
              <w:t>Salicional</w:t>
            </w:r>
          </w:p>
          <w:p>
            <w:pPr>
              <w:pStyle w:val="T4dispositie"/>
              <w:jc w:val="start"/>
              <w:rPr>
                <w:lang w:val="nl-NL"/>
              </w:rPr>
            </w:pPr>
            <w:r>
              <w:rPr>
                <w:lang w:val="nl-NL"/>
              </w:rPr>
              <w:t>Celeste</w:t>
            </w:r>
          </w:p>
          <w:p>
            <w:pPr>
              <w:pStyle w:val="T4dispositie"/>
              <w:jc w:val="start"/>
              <w:rPr>
                <w:lang w:val="nl-NL"/>
              </w:rPr>
            </w:pPr>
            <w:r>
              <w:rPr>
                <w:lang w:val="nl-NL"/>
              </w:rPr>
              <w:t>Gemshorn</w:t>
            </w:r>
          </w:p>
          <w:p>
            <w:pPr>
              <w:pStyle w:val="T4dispositie"/>
              <w:jc w:val="start"/>
              <w:rPr>
                <w:lang w:val="nl-NL"/>
              </w:rPr>
            </w:pPr>
            <w:r>
              <w:rPr>
                <w:lang w:val="nl-NL"/>
              </w:rPr>
              <w:t>Sesquialtera</w:t>
            </w:r>
          </w:p>
          <w:p>
            <w:pPr>
              <w:pStyle w:val="T4dispositie"/>
              <w:jc w:val="start"/>
              <w:rPr>
                <w:lang w:val="nl-NL"/>
              </w:rPr>
            </w:pPr>
            <w:r>
              <w:rPr>
                <w:lang w:val="nl-NL"/>
              </w:rPr>
              <w:t>Oboe</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r.]</w:t>
            </w:r>
          </w:p>
          <w:p>
            <w:pPr>
              <w:pStyle w:val="T4dispositie"/>
              <w:jc w:val="start"/>
              <w:rPr>
                <w:lang w:val="nl-NL"/>
              </w:rPr>
            </w:pPr>
            <w:r>
              <w:rPr>
                <w:lang w:val="nl-NL"/>
              </w:rPr>
              <w:t>[8']</w:t>
            </w:r>
          </w:p>
        </w:tc>
        <w:tc>
          <w:tcPr>
            <w:tcW w:w="1643" w:type="dxa"/>
            <w:tcBorders/>
          </w:tcPr>
          <w:p>
            <w:pPr>
              <w:pStyle w:val="T4dispositie"/>
              <w:jc w:val="start"/>
              <w:rPr>
                <w:i/>
                <w:i/>
                <w:iCs/>
                <w:lang w:val="nl-NL"/>
              </w:rPr>
            </w:pPr>
            <w:r>
              <w:rPr>
                <w:i/>
                <w:iCs/>
                <w:lang w:val="nl-NL"/>
              </w:rPr>
              <w:t>Pedal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78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Swell to Great, Swell Octave, Great to Pedals, Swell to Pedals</w:t>
      </w:r>
    </w:p>
    <w:p>
      <w:pPr>
        <w:pStyle w:val="T1"/>
        <w:jc w:val="start"/>
        <w:rPr>
          <w:lang w:val="nl-NL"/>
        </w:rPr>
      </w:pPr>
      <w:r>
        <w:rPr>
          <w:lang w:val="nl-NL"/>
        </w:rPr>
        <w:t>trede Swell</w:t>
      </w:r>
    </w:p>
    <w:p>
      <w:pPr>
        <w:pStyle w:val="T1"/>
        <w:jc w:val="start"/>
        <w:rPr>
          <w:lang w:val="nl-NL"/>
        </w:rPr>
      </w:pPr>
      <w:r>
        <w:rPr>
          <w:lang w:val="nl-NL"/>
        </w:rPr>
      </w:r>
    </w:p>
    <w:p>
      <w:pPr>
        <w:pStyle w:val="T1"/>
        <w:jc w:val="start"/>
        <w:rPr>
          <w:lang w:val="nl-NL"/>
        </w:rPr>
      </w:pPr>
      <w:r>
        <w:rPr>
          <w:lang w:val="nl-NL"/>
        </w:rPr>
        <w:t>Samenstelling vulstemmen</w:t>
      </w:r>
    </w:p>
    <w:tbl>
      <w:tblPr>
        <w:tblW w:w="3822" w:type="dxa"/>
        <w:jc w:val="start"/>
        <w:tblInd w:w="-70" w:type="dxa"/>
        <w:tblLayout w:type="fixed"/>
        <w:tblCellMar>
          <w:top w:w="0" w:type="dxa"/>
          <w:start w:w="70" w:type="dxa"/>
          <w:bottom w:w="0" w:type="dxa"/>
          <w:end w:w="70" w:type="dxa"/>
        </w:tblCellMar>
      </w:tblPr>
      <w:tblGrid>
        <w:gridCol w:w="906"/>
        <w:gridCol w:w="729"/>
        <w:gridCol w:w="729"/>
        <w:gridCol w:w="729"/>
        <w:gridCol w:w="729"/>
      </w:tblGrid>
      <w:tr>
        <w:trPr/>
        <w:tc>
          <w:tcPr>
            <w:tcW w:w="906" w:type="dxa"/>
            <w:tcBorders/>
          </w:tcPr>
          <w:p>
            <w:pPr>
              <w:pStyle w:val="T1"/>
              <w:jc w:val="start"/>
              <w:rPr>
                <w:lang w:val="nl-NL"/>
              </w:rPr>
            </w:pPr>
            <w:r>
              <w:rPr>
                <w:lang w:val="nl-NL"/>
              </w:rPr>
              <w:t>Mixture</w:t>
            </w:r>
          </w:p>
        </w:tc>
        <w:tc>
          <w:tcPr>
            <w:tcW w:w="729"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Sesquialtera   a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(1902)</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De orgelkas is van eiken. De bovenkas heeft alleen een zijwand aan de rechterzijde; een dak en een achterwand zijn niet aanwezig. In het front staan C-e van de Open Diapason en C-D van de Principal.</w:t>
      </w:r>
    </w:p>
    <w:p>
      <w:pPr>
        <w:pStyle w:val="T1"/>
        <w:jc w:val="start"/>
        <w:rPr>
          <w:lang w:val="nl-NL"/>
        </w:rPr>
      </w:pPr>
      <w:r>
        <w:rPr>
          <w:lang w:val="nl-NL"/>
        </w:rPr>
        <w:t>De klaviatuur is nog origineel met uitzondering van enkele registeropschriften. De registerknoppen zijn aan weerszijden van de handklavieren geplaatst.</w:t>
      </w:r>
    </w:p>
    <w:p>
      <w:pPr>
        <w:pStyle w:val="T1"/>
        <w:jc w:val="start"/>
        <w:rPr>
          <w:lang w:val="nl-NL"/>
        </w:rPr>
      </w:pPr>
      <w:r>
        <w:rPr>
          <w:lang w:val="nl-NL"/>
        </w:rPr>
        <w:t>Great en Swell zijn achter elkaar geplaatst. De pijpen van de Bourdon 16 alsmede de grotere afgevoerde pijpen zijn aan weerszijden van de laden geplaatst. De tractuur is mechanisch met normale wellenborden. De volgorde van de registers op de laden is als volgt: Open Diapason, Clarabella, Mixture, Principal, Fifteenth (op kantsleep); Oboe, Gemshorn, Celeste, Salicional, Lieblich Gedackt, Sesquialtera (op kantsleep).</w:t>
      </w:r>
    </w:p>
    <w:p>
      <w:pPr>
        <w:pStyle w:val="T1"/>
        <w:jc w:val="start"/>
        <w:rPr/>
      </w:pPr>
      <w:r>
        <w:rPr/>
        <w:t>De Clarabella 8 (Great) is geheel van hout, C-H gedekt en verder open. De Salicional van het Swell is van C-H gecombineerd met de Lieblich Gedackt. De Celeste begint op c. De Gemshorn is uitgevoerd in prestantmensuur. De Oboe heeft metalen stevels en koppen en licht trechtervormige bekers met een wijder bovenstuk dat is voorzien van intoneerdeksels.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TotalTime>
  <Application>LibreOffice/7.2.1.2$MacOSX_X86_64 LibreOffice_project/87b77fad49947c1441b67c559c339af8f3517e22</Application>
  <AppVersion>15.0000</AppVersion>
  <Pages>3</Pages>
  <Words>485</Words>
  <Characters>2652</Characters>
  <CharactersWithSpaces>3044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2008-03-07T17:22:00Z</dcterms:created>
  <dc:creator>WS1</dc:creator>
  <dc:description/>
  <dc:language>en-US</dc:language>
  <cp:lastModifiedBy>NIvO</cp:lastModifiedBy>
  <dcterms:modified xsi:type="dcterms:W3CDTF">2009-07-31T15:42:00Z</dcterms:modified>
  <cp:revision>10</cp:revision>
  <dc:subject/>
  <dc:title>Schagen / 1879</dc:title>
</cp:coreProperties>
</file>