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Meddo / 1906</w:t>
      </w:r>
    </w:p>
    <w:p>
      <w:pPr>
        <w:pStyle w:val="Heading2"/>
        <w:rPr>
          <w:i w:val="false"/>
          <w:i w:val="false"/>
          <w:iCs/>
        </w:rPr>
      </w:pPr>
      <w:r>
        <w:rPr>
          <w:i w:val="false"/>
          <w:iCs/>
        </w:rPr>
        <w:t>R.K. Kerk H. Johannes de Doper</w:t>
      </w:r>
    </w:p>
    <w:p>
      <w:pPr>
        <w:pStyle w:val="T1"/>
        <w:jc w:val="start"/>
        <w:rPr>
          <w:i/>
          <w:i/>
          <w:iCs/>
          <w:lang w:val="nl-NL"/>
        </w:rPr>
      </w:pPr>
      <w:r>
        <w:rPr>
          <w:i/>
          <w:iCs/>
          <w:lang w:val="nl-NL"/>
        </w:rPr>
      </w:r>
    </w:p>
    <w:p>
      <w:pPr>
        <w:pStyle w:val="T1"/>
        <w:jc w:val="start"/>
        <w:rPr>
          <w:lang w:val="nl-NL"/>
        </w:rPr>
      </w:pPr>
      <w:r>
        <w:rPr>
          <w:i/>
          <w:iCs/>
          <w:lang w:val="nl-NL"/>
        </w:rPr>
        <w:t>Eenbeukige kerk voorzien van een slanke toren met ingesnoerde spits, gebouwd in 1863-1864 naar ontwerp van A. te Wiel.</w:t>
      </w:r>
    </w:p>
    <w:p>
      <w:pPr>
        <w:pStyle w:val="T1"/>
        <w:jc w:val="start"/>
        <w:rPr>
          <w:lang w:val="nl-NL"/>
        </w:rPr>
      </w:pPr>
      <w:r>
        <w:rPr>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kas naar het classicistische driedelige blokmodel, neogotisch gedecoreerd. </w:t>
      </w:r>
      <w:r>
        <w:rPr>
          <w:lang w:val="nl-NL"/>
        </w:rPr>
        <w:t xml:space="preserve">De kas heeft drie velden, ieder met een licht hangende labiumlijn. </w:t>
      </w:r>
      <w:r>
        <w:rPr/>
        <w:t>Alle drie de velden worden aan de bovenzijde afgesloten met een spitse tootboog. De zijvelden hebben zwikken die fijn zijn versierd. Het centrale pijpveld heeft een wimberg met een gotische vierpas, op de hoeken geaccentueerd met leliën. Langs de rand van de wimberg enkele speelse hogels. Het geheel wordt bekroond door een kruisbloem. Boven de zijvelden en op de schouders van de wimberg is een spitsboogfries aangebracht, met daarboven een tootlijst en een reeks pinakels, iets verschillend in hoogte. Het pijpwerk in het front staat niet op verhoogde pijpstok, en het decoratiewerk is bij dit ontwerp duidelijk voor het bovenste deel van kas bewaard, zoals zo vaak bij de neogotiek. Met uitzondering echter van het kleine Mariabeeld, onder bij het centrale pijpveld.</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lang w:val="nl-NL"/>
        </w:rPr>
        <w:t xml:space="preserve">J.F. van Os, </w:t>
      </w:r>
      <w:r>
        <w:rPr>
          <w:i/>
          <w:iCs/>
          <w:lang w:val="nl-NL"/>
        </w:rPr>
        <w:t>Langs Nederlandse Orgels, Overijssel, Gelderland</w:t>
      </w:r>
      <w:r>
        <w:rPr>
          <w:lang w:val="nl-NL"/>
        </w:rPr>
        <w:t>. Baarn, 1978, 56.</w:t>
      </w:r>
    </w:p>
    <w:p>
      <w:pPr>
        <w:pStyle w:val="T3Lit"/>
        <w:jc w:val="start"/>
        <w:rPr>
          <w:iCs/>
          <w:lang w:val="nl-NL"/>
        </w:rPr>
      </w:pPr>
      <w:r>
        <w:rPr>
          <w:lang w:val="nl-NL"/>
        </w:rPr>
        <w:t xml:space="preserve">J.F. van Os, </w:t>
      </w:r>
      <w:r>
        <w:rPr>
          <w:i/>
          <w:iCs/>
          <w:lang w:val="nl-NL"/>
        </w:rPr>
        <w:t>Oude Orgels in Oost-Gelderland</w:t>
      </w:r>
      <w:r>
        <w:rPr>
          <w:lang w:val="nl-NL"/>
        </w:rPr>
        <w:t>. Elburg, 2003, 130.</w:t>
      </w:r>
    </w:p>
    <w:p>
      <w:pPr>
        <w:pStyle w:val="T1"/>
        <w:jc w:val="start"/>
        <w:rPr>
          <w:iCs/>
          <w:lang w:val="nl-NL"/>
        </w:rPr>
      </w:pPr>
      <w:r>
        <w:rPr>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Jos. Vermeulen 1980</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930" w:type="dxa"/>
        <w:jc w:val="start"/>
        <w:tblInd w:w="-70" w:type="dxa"/>
        <w:tblLayout w:type="fixed"/>
        <w:tblCellMar>
          <w:top w:w="0" w:type="dxa"/>
          <w:start w:w="70" w:type="dxa"/>
          <w:bottom w:w="0" w:type="dxa"/>
          <w:end w:w="70" w:type="dxa"/>
        </w:tblCellMar>
      </w:tblPr>
      <w:tblGrid>
        <w:gridCol w:w="1690"/>
        <w:gridCol w:w="720"/>
        <w:gridCol w:w="180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 [B]</w:t>
            </w:r>
          </w:p>
          <w:p>
            <w:pPr>
              <w:pStyle w:val="T4dispositie"/>
              <w:rPr>
                <w:lang w:val="nl-NL"/>
              </w:rPr>
            </w:pPr>
            <w:r>
              <w:rPr>
                <w:lang w:val="nl-NL"/>
              </w:rPr>
              <w:t>Viola di Gamba</w:t>
            </w:r>
          </w:p>
          <w:p>
            <w:pPr>
              <w:pStyle w:val="T4dispositie"/>
              <w:rPr>
                <w:lang w:val="nl-NL"/>
              </w:rPr>
            </w:pPr>
            <w:r>
              <w:rPr>
                <w:lang w:val="nl-NL"/>
              </w:rPr>
              <w:t>Fluit harm. [D]</w:t>
            </w:r>
          </w:p>
          <w:p>
            <w:pPr>
              <w:pStyle w:val="T4dispositie"/>
              <w:rPr>
                <w:lang w:val="nl-NL"/>
              </w:rPr>
            </w:pPr>
            <w:r>
              <w:rPr>
                <w:lang w:val="nl-NL"/>
              </w:rPr>
              <w:t>Melophone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800" w:type="dxa"/>
            <w:tcBorders/>
          </w:tcPr>
          <w:p>
            <w:pPr>
              <w:pStyle w:val="T4dispositie"/>
              <w:rPr>
                <w:i/>
                <w:i/>
                <w:lang w:val="nl-NL"/>
              </w:rPr>
            </w:pPr>
            <w:r>
              <w:rPr>
                <w:i/>
                <w:lang w:val="nl-NL"/>
              </w:rPr>
              <w:t>Nevenwerk (II)</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Aeoline</w:t>
            </w:r>
          </w:p>
          <w:p>
            <w:pPr>
              <w:pStyle w:val="T4dispositie"/>
              <w:rPr>
                <w:lang w:val="nl-NL"/>
              </w:rPr>
            </w:pPr>
            <w:r>
              <w:rPr>
                <w:lang w:val="nl-NL"/>
              </w:rPr>
              <w:t>Fluit Dolce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T1"/>
        <w:jc w:val="start"/>
        <w:rPr>
          <w:lang w:val="nl-NL"/>
        </w:rPr>
      </w:pPr>
      <w:r>
        <w:rPr>
          <w:lang w:val="nl-NL"/>
        </w:rPr>
        <w:t>koppel klav</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C-f</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(1906)</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voorzijde van de orgelkas is van eiken, de overige delen zijn van naaldhout.</w:t>
      </w:r>
    </w:p>
    <w:p>
      <w:pPr>
        <w:pStyle w:val="T1"/>
        <w:jc w:val="start"/>
        <w:rPr>
          <w:lang w:val="nl-NL"/>
        </w:rPr>
      </w:pPr>
      <w:r>
        <w:rPr>
          <w:lang w:val="nl-NL"/>
        </w:rPr>
        <w:t>De windvoorziening bevindt zich in de onderkas.</w:t>
      </w:r>
    </w:p>
    <w:p>
      <w:pPr>
        <w:pStyle w:val="T1"/>
        <w:jc w:val="start"/>
        <w:rPr>
          <w:lang w:val="nl-NL"/>
        </w:rPr>
      </w:pPr>
      <w:r>
        <w:rPr>
          <w:lang w:val="nl-NL"/>
        </w:rPr>
        <w:t>De klaviatuur is geheel origineel. De ronde registertrekkers zijn aangebracht in een horizontale rij onder de lessenaar.</w:t>
      </w:r>
    </w:p>
    <w:p>
      <w:pPr>
        <w:pStyle w:val="T1"/>
        <w:jc w:val="start"/>
        <w:rPr>
          <w:lang w:val="nl-NL"/>
        </w:rPr>
      </w:pPr>
      <w:r>
        <w:rPr>
          <w:lang w:val="nl-NL"/>
        </w:rPr>
        <w:t>Het pijpwerk van beide werken staat op twee laden achter elkaar met een tussenruimte van slechts enkele cm. De lade van het HW ligt aan de frontzijde. De indeling van beide laden is in hele tonen, aflopend van binnen naar buiten.</w:t>
      </w:r>
    </w:p>
    <w:p>
      <w:pPr>
        <w:pStyle w:val="T1"/>
        <w:jc w:val="start"/>
        <w:rPr/>
      </w:pPr>
      <w:r>
        <w:rPr>
          <w:lang w:val="nl-NL"/>
        </w:rPr>
        <w:t>C-F van de Prestant 8 zijn van hout, open hout met stemschuiven, Fis-gis</w:t>
      </w:r>
      <w:r>
        <w:rPr>
          <w:vertAlign w:val="superscript"/>
          <w:lang w:val="nl-NL"/>
        </w:rPr>
        <w:t>1</w:t>
      </w:r>
      <w:r>
        <w:rPr>
          <w:lang w:val="nl-NL"/>
        </w:rPr>
        <w:t xml:space="preserve"> staan in front, de overige pijpen staan op de lade. Alle frontpijpen behoren tot de Prestant 8' en zijn als volgt geplaatst: fis</w:t>
      </w:r>
      <w:r>
        <w:rPr>
          <w:vertAlign w:val="superscript"/>
          <w:lang w:val="nl-NL"/>
        </w:rPr>
        <w:t>1</w:t>
      </w:r>
      <w:r>
        <w:rPr>
          <w:lang w:val="nl-NL"/>
        </w:rPr>
        <w:t xml:space="preserve"> d</w:t>
      </w:r>
      <w:r>
        <w:rPr>
          <w:vertAlign w:val="superscript"/>
          <w:lang w:val="nl-NL"/>
        </w:rPr>
        <w:t>1</w:t>
      </w:r>
      <w:r>
        <w:rPr>
          <w:lang w:val="nl-NL"/>
        </w:rPr>
        <w:t xml:space="preserve"> b fis e gis c</w:t>
      </w:r>
      <w:r>
        <w:rPr>
          <w:vertAlign w:val="superscript"/>
          <w:lang w:val="nl-NL"/>
        </w:rPr>
        <w:t>1</w:t>
      </w:r>
      <w:r>
        <w:rPr>
          <w:lang w:val="nl-NL"/>
        </w:rPr>
        <w:t xml:space="preserve"> e</w:t>
      </w:r>
      <w:r>
        <w:rPr>
          <w:vertAlign w:val="superscript"/>
          <w:lang w:val="nl-NL"/>
        </w:rPr>
        <w:t>1</w:t>
      </w:r>
      <w:r>
        <w:rPr>
          <w:lang w:val="nl-NL"/>
        </w:rPr>
        <w:t xml:space="preserve"> gis</w:t>
      </w:r>
      <w:r>
        <w:rPr>
          <w:vertAlign w:val="superscript"/>
          <w:lang w:val="nl-NL"/>
        </w:rPr>
        <w:t>1</w:t>
      </w:r>
      <w:r>
        <w:rPr>
          <w:lang w:val="nl-NL"/>
        </w:rPr>
        <w:t xml:space="preserve"> | d c B Gis Fis G A H cis | g</w:t>
      </w:r>
      <w:r>
        <w:rPr>
          <w:vertAlign w:val="superscript"/>
          <w:lang w:val="nl-NL"/>
        </w:rPr>
        <w:t>1</w:t>
      </w:r>
      <w:r>
        <w:rPr>
          <w:lang w:val="nl-NL"/>
        </w:rPr>
        <w:t xml:space="preserve"> dis</w:t>
      </w:r>
      <w:r>
        <w:rPr>
          <w:vertAlign w:val="superscript"/>
          <w:lang w:val="nl-NL"/>
        </w:rPr>
        <w:t>1</w:t>
      </w:r>
      <w:r>
        <w:rPr>
          <w:lang w:val="nl-NL"/>
        </w:rPr>
        <w:t xml:space="preserve"> h g dis f a cis</w:t>
      </w:r>
      <w:r>
        <w:rPr>
          <w:vertAlign w:val="superscript"/>
          <w:lang w:val="nl-NL"/>
        </w:rPr>
        <w:t>1</w:t>
      </w:r>
      <w:r>
        <w:rPr>
          <w:lang w:val="nl-NL"/>
        </w:rPr>
        <w:t xml:space="preserve"> f</w:t>
      </w:r>
      <w:r>
        <w:rPr>
          <w:vertAlign w:val="superscript"/>
          <w:lang w:val="nl-NL"/>
        </w:rPr>
        <w:t>1</w:t>
      </w:r>
      <w:r>
        <w:rPr>
          <w:lang w:val="nl-NL"/>
        </w:rPr>
        <w:t>. De Bourdon 8 bestaat uit 12 pijpen (C-H), waarvan C-Fis van hout (gedekt) en de overige van metaal. De Fluit harm. begint op c en is vanaf f</w:t>
      </w:r>
      <w:r>
        <w:rPr>
          <w:vertAlign w:val="superscript"/>
          <w:lang w:val="nl-NL"/>
        </w:rPr>
        <w:t>1</w:t>
      </w:r>
      <w:r>
        <w:rPr>
          <w:lang w:val="nl-NL"/>
        </w:rPr>
        <w:t xml:space="preserve"> overblazend. De Viola di Gamba 8 begint eveneens op c en is voorzien van zijbaarden en expressions. De Melofoon 4 is open, cilindrisch met expressions en uitgevoerd in een enge prestantmensuur.</w:t>
      </w:r>
    </w:p>
    <w:p>
      <w:pPr>
        <w:pStyle w:val="T1"/>
        <w:jc w:val="start"/>
        <w:rPr>
          <w:lang w:val="nl-NL"/>
        </w:rPr>
      </w:pPr>
      <w:r>
        <w:rPr>
          <w:lang w:val="nl-NL"/>
        </w:rPr>
        <w:t>C-H van de Holpijp 8 (NW) ziojn van hout (gedekt), het vervolg is van metaal. De Aeoline 8 begint op C. C-H zijn van zink. Het gehele register is voorzien van freins en expressions. Het hoogste octaaf van de Fluit dolce 4 is open, conisch.</w:t>
      </w:r>
    </w:p>
    <w:p>
      <w:pPr>
        <w:pStyle w:val="T1"/>
        <w:jc w:val="start"/>
        <w:rPr>
          <w:lang w:val="nl-NL"/>
        </w:rPr>
      </w:pPr>
      <w:r>
        <w:rPr>
          <w:lang w:val="nl-NL"/>
        </w:rPr>
        <w:t xml:space="preserve">Alle houten pijpen zijn gemaakt van geverfd hout met voorslagen van eiken. Op de voorzijde van de kas is de volgende tekst aangebracht: </w:t>
      </w:r>
      <w:r>
        <w:rPr>
          <w:i/>
          <w:iCs/>
          <w:lang w:val="nl-NL"/>
        </w:rPr>
        <w:t>dono Me Donarunt / Parochiani de Meddeho / Anno Domini 1906.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LibreOffice/7.2.1.2$MacOSX_X86_64 LibreOffice_project/87b77fad49947c1441b67c559c339af8f3517e22</Application>
  <AppVersion>15.0000</AppVersion>
  <Pages>2</Pages>
  <Words>563</Words>
  <Characters>2866</Characters>
  <CharactersWithSpaces>3363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2008-03-01T04:57:00Z</dcterms:created>
  <dc:creator>WS1</dc:creator>
  <dc:description/>
  <dc:language>en-US</dc:language>
  <cp:lastModifiedBy>NIvO</cp:lastModifiedBy>
  <dcterms:modified xsi:type="dcterms:W3CDTF">2009-09-21T14:48:00Z</dcterms:modified>
  <cp:revision>10</cp:revision>
  <dc:subject/>
  <dc:title>Heumen / ca 1860</dc:title>
</cp:coreProperties>
</file>