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Medemblik / 1909</w:t>
      </w:r>
    </w:p>
    <w:p>
      <w:pPr>
        <w:pStyle w:val="Heading2"/>
        <w:ind w:start="0" w:end="0" w:hanging="0"/>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Achter een aan de straat grenzend woonhuis gelegen schuilkerk, van oorsprong uit 1687.</w:t>
      </w:r>
    </w:p>
    <w:p>
      <w:pPr>
        <w:pStyle w:val="T1"/>
        <w:jc w:val="start"/>
        <w:rPr>
          <w:i/>
          <w:i/>
          <w:iCs/>
          <w:lang w:val="nl-NL"/>
        </w:rPr>
      </w:pPr>
      <w:r>
        <w:rPr>
          <w:i/>
          <w:iCs/>
          <w:lang w:val="nl-NL"/>
        </w:rPr>
        <w:t>Het woonhuis is verbouwd in 1856, waarbij de voorgevel bepleisterd werd, het kerkgebouw onderging een ingrijpende vernieuwing in 1867 naar ontwerp van architect A.T. van Wijngaarden. Bij deze gelegenheid werd de voormalige kansel vervangen door de huidige, verhoogd opgestelde katheder. Eenvoudig uitgevoerd traditioneel meubilair.</w:t>
      </w:r>
    </w:p>
    <w:p>
      <w:pPr>
        <w:pStyle w:val="T1"/>
        <w:jc w:val="start"/>
        <w:rPr>
          <w:i/>
          <w:i/>
          <w:iCs/>
          <w:lang w:val="nl-NL"/>
        </w:rPr>
      </w:pPr>
      <w:r>
        <w:rPr>
          <w:i/>
          <w:iCs/>
          <w:lang w:val="nl-NL"/>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Het laatste orgel van een reeks van drie door de orgelmakers Gebr. Spanjaard uit Alkmaar aan Noord-Hollandse kerken geleverde orgels. Van deze drie orgels is de grondvorm van het front identiek, maar wijken de details en de ornamentiek op sommige punten van elkaar af.</w:t>
      </w:r>
    </w:p>
    <w:p>
      <w:pPr>
        <w:pStyle w:val="T2Kunst"/>
        <w:jc w:val="start"/>
        <w:rPr>
          <w:lang w:val="nl-NL"/>
        </w:rPr>
      </w:pPr>
      <w:r>
        <w:rPr>
          <w:lang w:val="nl-NL"/>
        </w:rPr>
        <w:t>Het orgel van Medemblik heeft daarbij de meest sobere uitvoering gekregen. Het is smaller van opzet dan de beide andere orgels (in de tussenvelden staan hier zeven in plaats van acht pijpen), vleugelstukken en bekroningen zijn achterwege gebleven. Het karakteristieke gesneden ornament onder de tussenvelden is hier vervangen door een paneeltje.</w:t>
      </w:r>
    </w:p>
    <w:p>
      <w:pPr>
        <w:pStyle w:val="T2Kunst"/>
        <w:jc w:val="start"/>
        <w:rPr>
          <w:lang w:val="nl-NL"/>
        </w:rPr>
      </w:pPr>
      <w:r>
        <w:rPr>
          <w:lang w:val="nl-NL"/>
        </w:rPr>
        <w:t>De wijze waarop de blinderingen boven de tussenvelden aangebracht zijn, komt overeen met het front van Hensbroek en vormt dus een tegenstelling met het front van Obdam, waar de relatie met de pijpfuncties logischer is. De stervormige ornamentjes op de frontstijlen zijn hier, in Medemblik, niet toegepast, in plaats daarvan zorgen rechthoekige onderbrekingen voor verlevendiging van het beeld.</w:t>
      </w:r>
    </w:p>
    <w:p>
      <w:pPr>
        <w:pStyle w:val="T2Kunst"/>
        <w:jc w:val="start"/>
        <w:rPr>
          <w:lang w:val="nl-NL"/>
        </w:rPr>
      </w:pPr>
      <w:r>
        <w:rPr>
          <w:lang w:val="nl-NL"/>
        </w:rPr>
        <w:t>De blinderingen zijn rustiger van karakter dan bij de twee andere orgels het geval is. Het ornament op de lijst boven de tussenvelden vertoont met de nadrukkelijke structuur van voluutbanden veel gelijkenis met het overeenkomstig ornament in Hensbroek.</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Caecilia</w:t>
      </w:r>
      <w:r>
        <w:rPr>
          <w:lang w:val="nl-NL"/>
        </w:rPr>
        <w:t xml:space="preserve"> 1910, 217/8.</w:t>
      </w:r>
    </w:p>
    <w:p>
      <w:pPr>
        <w:pStyle w:val="T3Lit"/>
        <w:jc w:val="start"/>
        <w:rPr/>
      </w:pPr>
      <w:r>
        <w:rPr>
          <w:i/>
          <w:iCs/>
          <w:lang w:val="nl-NL"/>
        </w:rPr>
        <w:t>Het Orgel</w:t>
      </w:r>
      <w:r>
        <w:rPr>
          <w:lang w:val="nl-NL"/>
        </w:rPr>
        <w:t>, ../.. (1908/9), 76.</w:t>
      </w:r>
    </w:p>
    <w:p>
      <w:pPr>
        <w:pStyle w:val="T3Lit"/>
        <w:jc w:val="start"/>
        <w:rPr/>
      </w:pPr>
      <w:r>
        <w:rPr>
          <w:i/>
          <w:iCs/>
          <w:lang w:val="nl-NL"/>
        </w:rPr>
        <w:t>Acta Organologica</w:t>
      </w:r>
      <w:r>
        <w:rPr>
          <w:lang w:val="nl-NL"/>
        </w:rPr>
        <w:t xml:space="preserve"> 19, 324</w:t>
      </w:r>
    </w:p>
    <w:p>
      <w:pPr>
        <w:pStyle w:val="T3Lit"/>
        <w:jc w:val="start"/>
        <w:rPr>
          <w:lang w:val="nl-NL"/>
        </w:rPr>
      </w:pPr>
      <w:r>
        <w:rPr>
          <w:lang w:val="nl-NL"/>
        </w:rPr>
      </w:r>
    </w:p>
    <w:p>
      <w:pPr>
        <w:pStyle w:val="T3Lit"/>
        <w:jc w:val="start"/>
        <w:rPr>
          <w:b/>
          <w:b/>
          <w:bCs/>
          <w:lang w:val="nl-NL"/>
        </w:rPr>
      </w:pPr>
      <w:r>
        <w:rPr>
          <w:b/>
          <w:bCs/>
          <w:lang w:val="nl-NL"/>
        </w:rPr>
        <w:t>Niet gepubliceerden bronnen</w:t>
      </w:r>
    </w:p>
    <w:p>
      <w:pPr>
        <w:pStyle w:val="T3Lit"/>
        <w:jc w:val="start"/>
        <w:rPr>
          <w:lang w:val="nl-NL"/>
        </w:rPr>
      </w:pPr>
      <w:r>
        <w:rPr>
          <w:lang w:val="nl-NL"/>
        </w:rPr>
        <w:t>Archief Doopsgezinde Gemeente Medemblik, (Amsterdam, ADS).</w:t>
      </w:r>
    </w:p>
    <w:p>
      <w:pPr>
        <w:pStyle w:val="T3Lit"/>
        <w:jc w:val="start"/>
        <w:rPr/>
      </w:pPr>
      <w:r>
        <w:rPr>
          <w:lang w:val="nl-NL"/>
        </w:rPr>
        <w:t xml:space="preserve">G. Verloop, </w:t>
      </w:r>
      <w:r>
        <w:rPr>
          <w:i/>
          <w:iCs/>
          <w:lang w:val="nl-NL"/>
        </w:rPr>
        <w:t>Rapport over het orgel in de Doopsgezinde Kerk te Medemblik</w:t>
      </w:r>
      <w:r>
        <w:rPr>
          <w:lang w:val="nl-NL"/>
        </w:rPr>
        <w:t>. Schagen, 1998.</w:t>
      </w:r>
    </w:p>
    <w:p>
      <w:pPr>
        <w:pStyle w:val="T3Lit"/>
        <w:jc w:val="start"/>
        <w:rPr>
          <w:lang w:val="nl-NL"/>
        </w:rPr>
      </w:pPr>
      <w:r>
        <w:rPr>
          <w:lang w:val="nl-NL"/>
        </w:rPr>
      </w:r>
    </w:p>
    <w:p>
      <w:pPr>
        <w:pStyle w:val="T3Lit"/>
        <w:jc w:val="start"/>
        <w:rPr>
          <w:lang w:val="nl-NL"/>
        </w:rPr>
      </w:pPr>
      <w:r>
        <w:rPr>
          <w:lang w:val="nl-NL"/>
        </w:rPr>
        <w:t>Orgelnummer 2089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Gebr. Spanjaard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K.P.M. van Ingen 1927</w:t>
      </w:r>
    </w:p>
    <w:p>
      <w:pPr>
        <w:pStyle w:val="T1"/>
        <w:numPr>
          <w:ilvl w:val="0"/>
          <w:numId w:val="2"/>
        </w:numPr>
        <w:jc w:val="start"/>
        <w:rPr>
          <w:lang w:val="nl-NL"/>
        </w:rPr>
      </w:pPr>
      <w:r>
        <w:rPr>
          <w:lang w:val="nl-NL"/>
        </w:rPr>
        <w:t>pneumatische tremulant aangebracht</w:t>
      </w:r>
    </w:p>
    <w:p>
      <w:pPr>
        <w:pStyle w:val="T1"/>
        <w:jc w:val="start"/>
        <w:rPr>
          <w:lang w:val="nl-NL"/>
        </w:rPr>
      </w:pPr>
      <w:r>
        <w:rPr>
          <w:lang w:val="nl-NL"/>
        </w:rPr>
      </w:r>
    </w:p>
    <w:p>
      <w:pPr>
        <w:pStyle w:val="T1"/>
        <w:jc w:val="start"/>
        <w:rPr>
          <w:lang w:val="nl-NL"/>
        </w:rPr>
      </w:pPr>
      <w:r>
        <w:rPr>
          <w:lang w:val="nl-NL"/>
        </w:rPr>
        <w:t>G. Verloop 1998</w:t>
      </w:r>
    </w:p>
    <w:p>
      <w:pPr>
        <w:pStyle w:val="T1"/>
        <w:numPr>
          <w:ilvl w:val="0"/>
          <w:numId w:val="2"/>
        </w:numPr>
        <w:jc w:val="start"/>
        <w:rPr>
          <w:lang w:val="nl-NL"/>
        </w:rPr>
      </w:pPr>
      <w:r>
        <w:rPr>
          <w:lang w:val="nl-NL"/>
        </w:rPr>
        <w:t>orgel schoongemaakt, kleine reparaties uitgevoerd</w:t>
      </w:r>
    </w:p>
    <w:p>
      <w:pPr>
        <w:pStyle w:val="T1"/>
        <w:numPr>
          <w:ilvl w:val="0"/>
          <w:numId w:val="2"/>
        </w:numPr>
        <w:jc w:val="start"/>
        <w:rPr>
          <w:lang w:val="nl-NL"/>
        </w:rPr>
      </w:pPr>
      <w:r>
        <w:rPr>
          <w:lang w:val="nl-NL"/>
        </w:rPr>
        <w:t>windlade voorzien van ringen rond lade- en stokboringen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Flut d’amour</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C-h</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(1909)</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lijkt er sterk op dat het orgel geheel uit toegeleverde onderdelen is samengesteld. Het front vertoont grote overeenkomst met een ‘front in renaissancestijl’ uit een Preisblatt van de fa Aug. Laukhuff (1896, opnieuw uitgegeven 1901).</w:t>
      </w:r>
    </w:p>
    <w:p>
      <w:pPr>
        <w:pStyle w:val="T1"/>
        <w:jc w:val="start"/>
        <w:rPr/>
      </w:pPr>
      <w:r>
        <w:rPr>
          <w:lang w:val="nl-NL"/>
        </w:rPr>
        <w:t>De frontpijpen zijn van zink, bespoten met aluminiumverf. Alle frontpijpen zijn sprekend, in de torens staan F-cis</w:t>
      </w:r>
      <w:r>
        <w:rPr>
          <w:vertAlign w:val="superscript"/>
          <w:lang w:val="nl-NL"/>
        </w:rPr>
        <w:t>1</w:t>
      </w:r>
      <w:r>
        <w:rPr>
          <w:lang w:val="nl-NL"/>
        </w:rPr>
        <w:t xml:space="preserve"> van de Prestant 8'; in de velden spreken D-dis van de Octaaf 4'.</w:t>
      </w:r>
    </w:p>
    <w:p>
      <w:pPr>
        <w:pStyle w:val="T1"/>
        <w:jc w:val="start"/>
        <w:rPr>
          <w:lang w:val="nl-NL"/>
        </w:rPr>
      </w:pPr>
      <w:r>
        <w:rPr>
          <w:lang w:val="nl-NL"/>
        </w:rPr>
        <w:t>Het windtoestel is onder in de kas geplaatst. De pneumatische tremulant werkt door middel van vier balgjes.</w:t>
      </w:r>
    </w:p>
    <w:p>
      <w:pPr>
        <w:pStyle w:val="T1"/>
        <w:jc w:val="start"/>
        <w:rPr>
          <w:lang w:val="nl-NL"/>
        </w:rPr>
      </w:pPr>
      <w:r>
        <w:rPr>
          <w:lang w:val="nl-NL"/>
        </w:rPr>
        <w:t>Het handklavier is als staartklavier uitgevoerd, het toetsbeleg op de ondertoetsen is van kunststof. Het eiken pedaalklavier heeft boventoetsen van gelijke lengte. De registerknoppen, voorzien van witte porseleinen naamplaatjes, zijn direct boven het handklavier geplaatst. Het scharnierend klavierdeksel is na opening een muzieklessenaar.</w:t>
      </w:r>
    </w:p>
    <w:p>
      <w:pPr>
        <w:pStyle w:val="T1"/>
        <w:jc w:val="start"/>
        <w:rPr>
          <w:lang w:val="nl-NL"/>
        </w:rPr>
      </w:pPr>
      <w:r>
        <w:rPr>
          <w:lang w:val="nl-NL"/>
        </w:rPr>
        <w:t>Het cancellenraam van de lade is van eiken. De ventielkast heeft vier opliggende voorslagen. De cancelvolgorde is in hele tonen naar weerszijden aflopend, met C in het midden. Onder de lade bevindt zich een eiken walsraam, waarin grenen walsen, bevestigd in messing nokjes.</w:t>
      </w:r>
    </w:p>
    <w:p>
      <w:pPr>
        <w:pStyle w:val="T1"/>
        <w:jc w:val="start"/>
        <w:rPr>
          <w:lang w:val="nl-NL"/>
        </w:rPr>
      </w:pPr>
      <w:r>
        <w:rPr>
          <w:lang w:val="nl-NL"/>
        </w:rPr>
        <w:t>De pijpen voor C-E van de Prestant 8' zijn van zink en staan afgevoerd tegen de rechter zijwand opgesteld. C en Cis van de Octaaf 4' zijn eveneens van zink, boven de lade vervoerd opgesteld. De Holpijp heeft naaldhouten pijpen voor C-H. De Gamba is van C-H gecombineerd met de Holpijp. Het overige binnenpijpwerk is van spotted metaal, voorzien van geperste labia (een enkele kleine pijp uitgezonderd), en ingeslagen toonnamen of registercodes.</w:t>
      </w:r>
    </w:p>
    <w:p>
      <w:pPr>
        <w:pStyle w:val="T1"/>
        <w:jc w:val="start"/>
        <w:rPr/>
      </w:pPr>
      <w:r>
        <w:rPr>
          <w:lang w:val="nl-NL"/>
        </w:rPr>
        <w:t>De Gamba heeft rolbaarden in het klein octaaf. De Flut d’amour is eng gemensureerd, smal gelabieerd en voorzien van boogvormige opsneden. De bovenlabia van dit register zijn niet gevlakt. De metalen pijpen van de Holpijp hebben stoppen van kurk, voorzien van zwart geschilderde grepen. Alle open pijpen, tot en met f</w:t>
      </w:r>
      <w:r>
        <w:rPr>
          <w:vertAlign w:val="superscript"/>
          <w:lang w:val="nl-NL"/>
        </w:rPr>
        <w:t>3</w:t>
      </w:r>
      <w:r>
        <w:rPr>
          <w:lang w:val="nl-NL"/>
        </w:rPr>
        <w:t xml:space="preserve"> van de Octaaf 2</w:t>
      </w:r>
      <w:r>
        <w:rPr/>
        <w:t>'</w:t>
      </w:r>
      <w:r>
        <w:rPr>
          <w:lang w:val="nl-NL"/>
        </w:rPr>
        <w:t>, hebben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2008-03-01T05:25:00Z</dcterms:created>
  <dc:creator>WS1</dc:creator>
  <dc:description/>
  <dc:language>en-US</dc:language>
  <cp:lastModifiedBy>Hans Steketee</cp:lastModifiedBy>
  <dcterms:modified xsi:type="dcterms:W3CDTF">2009-09-29T11:52:00Z</dcterms:modified>
  <cp:revision>11</cp:revision>
  <dc:subject/>
  <dc:title>Niekerk (Hunsingo) / 1883</dc:title>
</cp:coreProperties>
</file>