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Moddergat / 1910</w:t>
      </w:r>
    </w:p>
    <w:p>
      <w:pPr>
        <w:pStyle w:val="Heading2"/>
        <w:ind w:start="0" w:end="0" w:hanging="0"/>
        <w:rPr>
          <w:i w:val="false"/>
          <w:i w:val="false"/>
          <w:iCs/>
        </w:rPr>
      </w:pPr>
      <w:r>
        <w:rPr>
          <w:i w:val="false"/>
          <w:iCs/>
        </w:rPr>
        <w:t>Gereformeerde Kerk</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r>
    </w:p>
    <w:p>
      <w:pPr>
        <w:pStyle w:val="T1"/>
        <w:jc w:val="start"/>
        <w:rPr>
          <w:i/>
          <w:i/>
          <w:iCs/>
          <w:lang w:val="nl-NL"/>
        </w:rPr>
      </w:pPr>
      <w:r>
        <w:rPr>
          <w:i/>
          <w:iCs/>
          <w:lang w:val="nl-NL"/>
        </w:rPr>
        <w:t>Zaalkerk met houten geveltoren en omlijste ingangspartij, gebouwd in 1889 met zowel neoclassicistische als gotiserende details. In 1924 vergroot, waarbij de huidige inrichting en plattegrond ontstond. De inrichting uit die periode bleef bewaard, de kansel werd echter gemoderniseerd.</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1910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brede acht-voets versie van het fronttype dat in 1894 te Wouterswoude voor het eerst verscheen. Drie ronde torens van elk zeven pijpen, vlak uitgevoerde gedeelde tussenvelden met elk negen pijpen. De gekozen breedte van de kas hangt samen met de aanwezigheid van een complete Bourdon 16' in de dispositie.</w:t>
      </w:r>
    </w:p>
    <w:p>
      <w:pPr>
        <w:pStyle w:val="T2Kunst"/>
        <w:jc w:val="start"/>
        <w:rPr/>
      </w:pPr>
      <w:r>
        <w:rPr>
          <w:lang w:val="nl-NL"/>
        </w:rPr>
        <w:t xml:space="preserve">Fantasievol uitgevoerde blinderingen met de traditionele Bakker &amp; Timmenga-thema’s: voluten, blad- en bloemmotieven. Alle delen in symmetrie uitgevoerd, hoewel de elegante beweging hier en daar toch nog een Rococo-effect sorteert. Bij de torenblinderingen een vertikaal ornamentje in het midden dat over het lijstwerk heen valt. In de veld-blinderingen zijn geen bloemen verwerkt. </w:t>
      </w:r>
      <w:r>
        <w:rPr>
          <w:i/>
          <w:iCs/>
          <w:lang w:val="nl-NL"/>
        </w:rPr>
        <w:t>Culs-de-lampe</w:t>
      </w:r>
      <w:r>
        <w:rPr>
          <w:lang w:val="nl-NL"/>
        </w:rPr>
        <w:t xml:space="preserve"> met omgekruld acanthusblad. Vrij laag gehouden opengewerkte opzetstukken met dezelfde motieven als in de torenblinderingen, bij de zijtorens bekroond door een palmetachtig ornament, bij de middentoren bekroond door een lier.</w:t>
      </w:r>
    </w:p>
    <w:p>
      <w:pPr>
        <w:pStyle w:val="T2Kunst"/>
        <w:jc w:val="start"/>
        <w:rPr>
          <w:lang w:val="nl-NL"/>
        </w:rPr>
      </w:pPr>
      <w:r>
        <w:rPr>
          <w:lang w:val="nl-NL"/>
        </w:rPr>
        <w:t>De vleugels bestaan uit S- en C-voluten als stramien, omrankt met twee soorten bladmotieven, waarvan de middelste een wijnrank met druiventros voorstelt, vergezeld van een vogeltje.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199.</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T. Heidinga, </w:t>
      </w:r>
      <w:r>
        <w:rPr>
          <w:i/>
          <w:iCs/>
          <w:lang w:val="nl-NL"/>
        </w:rPr>
        <w:t>Het orgel van de Gereformeerde Kerk van Paesens/Moddergat</w:t>
      </w:r>
      <w:r>
        <w:rPr>
          <w:lang w:val="nl-NL"/>
        </w:rPr>
        <w:t>. Leeuwarden, 1992.</w:t>
      </w:r>
    </w:p>
    <w:p>
      <w:pPr>
        <w:pStyle w:val="T3Lit"/>
        <w:jc w:val="start"/>
        <w:rPr>
          <w:lang w:val="nl-NL"/>
        </w:rPr>
      </w:pPr>
      <w:r>
        <w:rPr>
          <w:lang w:val="nl-NL"/>
        </w:rPr>
      </w:r>
    </w:p>
    <w:p>
      <w:pPr>
        <w:pStyle w:val="T3Lit"/>
        <w:rPr>
          <w:lang w:val="nl-NL"/>
        </w:rPr>
      </w:pPr>
      <w:r>
        <w:rPr>
          <w:lang w:val="nl-NL"/>
        </w:rPr>
        <w:t>Orgelnummer 995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Bakker &amp; Timmenga 1926</w:t>
      </w:r>
    </w:p>
    <w:p>
      <w:pPr>
        <w:pStyle w:val="T1"/>
        <w:numPr>
          <w:ilvl w:val="0"/>
          <w:numId w:val="2"/>
        </w:numPr>
        <w:jc w:val="start"/>
        <w:rPr>
          <w:lang w:val="nl-NL"/>
        </w:rPr>
      </w:pPr>
      <w:r>
        <w:rPr>
          <w:lang w:val="nl-NL"/>
        </w:rPr>
        <w:t>orgel schoongemaakt, frontpijpen gepolijst</w:t>
      </w:r>
    </w:p>
    <w:p>
      <w:pPr>
        <w:pStyle w:val="T1"/>
        <w:jc w:val="start"/>
        <w:rPr>
          <w:lang w:val="nl-NL"/>
        </w:rPr>
      </w:pPr>
      <w:r>
        <w:rPr>
          <w:lang w:val="nl-NL"/>
        </w:rPr>
      </w:r>
    </w:p>
    <w:p>
      <w:pPr>
        <w:pStyle w:val="T1"/>
        <w:jc w:val="start"/>
        <w:rPr>
          <w:lang w:val="nl-NL"/>
        </w:rPr>
      </w:pPr>
      <w:r>
        <w:rPr>
          <w:lang w:val="nl-NL"/>
        </w:rPr>
        <w:t>S. Bak 1971</w:t>
      </w:r>
    </w:p>
    <w:p>
      <w:pPr>
        <w:pStyle w:val="T1"/>
        <w:numPr>
          <w:ilvl w:val="0"/>
          <w:numId w:val="2"/>
        </w:numPr>
        <w:jc w:val="start"/>
        <w:rPr>
          <w:lang w:val="nl-NL"/>
        </w:rPr>
      </w:pPr>
      <w:r>
        <w:rPr>
          <w:lang w:val="nl-NL"/>
        </w:rPr>
        <w:t>windlade hersteld en van telescoop-systeem van eigen vinding voorzien</w:t>
      </w:r>
    </w:p>
    <w:p>
      <w:pPr>
        <w:pStyle w:val="T1"/>
        <w:numPr>
          <w:ilvl w:val="0"/>
          <w:numId w:val="2"/>
        </w:numPr>
        <w:jc w:val="start"/>
        <w:rPr>
          <w:lang w:val="nl-NL"/>
        </w:rPr>
      </w:pPr>
      <w:r>
        <w:rPr>
          <w:lang w:val="nl-NL"/>
        </w:rPr>
        <w:t>+ tremulant (- ventiel?)</w:t>
      </w:r>
    </w:p>
    <w:p>
      <w:pPr>
        <w:pStyle w:val="T1"/>
        <w:numPr>
          <w:ilvl w:val="0"/>
          <w:numId w:val="2"/>
        </w:numPr>
        <w:jc w:val="start"/>
        <w:rPr>
          <w:lang w:val="nl-NL"/>
        </w:rPr>
      </w:pPr>
      <w:r>
        <w:rPr>
          <w:lang w:val="nl-NL"/>
        </w:rPr>
        <w:t>- Cornet D 3 st., + Quint 2 2/3' (vanaf c)</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2-4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4127" w:type="dxa"/>
        <w:jc w:val="start"/>
        <w:tblInd w:w="0" w:type="dxa"/>
        <w:tblLayout w:type="fixed"/>
        <w:tblCellMar>
          <w:top w:w="0" w:type="dxa"/>
          <w:start w:w="70" w:type="dxa"/>
          <w:bottom w:w="0" w:type="dxa"/>
          <w:end w:w="70" w:type="dxa"/>
        </w:tblCellMar>
      </w:tblPr>
      <w:tblGrid>
        <w:gridCol w:w="1023"/>
        <w:gridCol w:w="619"/>
        <w:gridCol w:w="619"/>
        <w:gridCol w:w="619"/>
        <w:gridCol w:w="628"/>
        <w:gridCol w:w="619"/>
      </w:tblGrid>
      <w:tr>
        <w:trPr/>
        <w:tc>
          <w:tcPr>
            <w:tcW w:w="1023" w:type="dxa"/>
            <w:tcBorders/>
          </w:tcPr>
          <w:p>
            <w:pPr>
              <w:pStyle w:val="T1"/>
              <w:jc w:val="start"/>
              <w:rPr>
                <w:lang w:val="nl-NL"/>
              </w:rPr>
            </w:pPr>
            <w:r>
              <w:rPr>
                <w:lang w:val="nl-NL"/>
              </w:rPr>
              <w:t>Mixtuur</w:t>
            </w:r>
          </w:p>
        </w:tc>
        <w:tc>
          <w:tcPr>
            <w:tcW w:w="61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19"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(1910)</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pPr>
      <w:r>
        <w:rPr>
          <w:lang w:val="nl-NL"/>
        </w:rPr>
        <w:t>De frontpijpen zijn van metaal met een hoog tingehalte. Ze hebben rond opgeworpen labia in de torens en geperste labia in de velden. Sprekend zijn de pijpen in de torens en in de onderste tussenvelden vijf (links) respectievelijk vier (rechts) pijpen, in totaal C-f</w:t>
      </w:r>
      <w:r>
        <w:rPr>
          <w:vertAlign w:val="superscript"/>
          <w:lang w:val="nl-NL"/>
        </w:rPr>
        <w:t>1</w:t>
      </w:r>
      <w:r>
        <w:rPr>
          <w:lang w:val="nl-NL"/>
        </w:rPr>
        <w:t xml:space="preserve"> van de Prestant 8'.</w:t>
      </w:r>
    </w:p>
    <w:p>
      <w:pPr>
        <w:pStyle w:val="T1"/>
        <w:jc w:val="start"/>
        <w:rPr>
          <w:lang w:val="nl-NL"/>
        </w:rPr>
      </w:pPr>
      <w:r>
        <w:rPr>
          <w:lang w:val="nl-NL"/>
        </w:rPr>
        <w:t>Het windtoestel bevindt zich onder in de kas. De handpompboom is in klampen aan de buitenzijde van de kas tegen de achterwand gemonteerd. De tremulant is een pneumatisch dubbelslagexemplaar. In het bestek wordt een winddruk van 75 mm vermeld.</w:t>
      </w:r>
    </w:p>
    <w:p>
      <w:pPr>
        <w:pStyle w:val="T1"/>
        <w:jc w:val="start"/>
        <w:rPr>
          <w:lang w:val="nl-NL"/>
        </w:rPr>
      </w:pPr>
      <w:r>
        <w:rPr>
          <w:lang w:val="nl-NL"/>
        </w:rPr>
        <w:t>Het handklavier is een eiken staartklavier met celluloidbeleg op de ondertoetsen. De registerknoppen zijn boven de lessenaar aangebracht. Ze zijn voorzien van witte porseleinen naamplaatjes. Rond de knoppen is een eiken registerbord gemonteerd met profilering aan de buitenzijden. Het eiken pedaalklavier heeft korte boventoetsen van gelijke lengte.</w:t>
      </w:r>
    </w:p>
    <w:p>
      <w:pPr>
        <w:pStyle w:val="T1"/>
        <w:jc w:val="start"/>
        <w:rPr>
          <w:lang w:val="nl-NL"/>
        </w:rPr>
      </w:pPr>
      <w:r>
        <w:rPr>
          <w:lang w:val="nl-NL"/>
        </w:rPr>
        <w:t>De windlade is van eiken; de stokken en roosters zijn van mahonie. De cancelvolgorde is:</w:t>
      </w:r>
    </w:p>
    <w:p>
      <w:pPr>
        <w:pStyle w:val="T1"/>
        <w:jc w:val="start"/>
        <w:rPr/>
      </w:pPr>
      <w:r>
        <w:rPr>
          <w:lang w:val="nl-NL"/>
        </w:rPr>
        <w:t>f cis A G H dis g / f</w:t>
      </w:r>
      <w:r>
        <w:rPr>
          <w:vertAlign w:val="superscript"/>
          <w:lang w:val="nl-NL"/>
        </w:rPr>
        <w:t>3</w:t>
      </w:r>
      <w:r>
        <w:rPr>
          <w:lang w:val="nl-NL"/>
        </w:rPr>
        <w:t xml:space="preserve"> (hele tonen) a / F Dis Cis C D E Fis / b (hele tonen) e</w:t>
      </w:r>
      <w:r>
        <w:rPr>
          <w:vertAlign w:val="superscript"/>
          <w:lang w:val="nl-NL"/>
        </w:rPr>
        <w:t>3</w:t>
      </w:r>
      <w:r>
        <w:rPr>
          <w:lang w:val="nl-NL"/>
        </w:rPr>
        <w:t xml:space="preserve"> / gis e c Gis B d fis.</w:t>
      </w:r>
    </w:p>
    <w:p>
      <w:pPr>
        <w:pStyle w:val="T1"/>
        <w:jc w:val="start"/>
        <w:rPr/>
      </w:pPr>
      <w:r>
        <w:rPr>
          <w:lang w:val="nl-NL"/>
        </w:rPr>
        <w:t>De Bourdon 16' heeft pijpen van oregonpine voor C-h, hiervan zijn C-dis afgevoerd tegen de rechter zijwand van de kas. De Holpijp 8' heeft pijpen van oregonpine voor C-H. De Viola is van C-H gecombineerd met de Holpijp, het vervolg bestaat uit pijpwerk met een hoog tingehalte. De Fluit 4' is van C-f</w:t>
      </w:r>
      <w:r>
        <w:rPr>
          <w:vertAlign w:val="superscript"/>
          <w:lang w:val="nl-NL"/>
        </w:rPr>
        <w:t>2</w:t>
      </w:r>
      <w:r>
        <w:rPr>
          <w:lang w:val="nl-NL"/>
        </w:rPr>
        <w:t xml:space="preserve"> gedekt en verder open, conisch. De Quint 2 2/3' bestaat uit pijpwerk van 1971, het oorspronkelijk Cornetrooster is nog aanwezig. De Mixtuur is uitgevoerd in Salicet-mensuur. Het bestek geeft als aanduiding 2-3 st. De samenstelling en de repetitiepunten zijn kenmerkend voor het werk van Bakker &amp; Timmenga.</w:t>
      </w:r>
    </w:p>
    <w:p>
      <w:pPr>
        <w:pStyle w:val="T1"/>
        <w:jc w:val="start"/>
        <w:rPr/>
      </w:pPr>
      <w:r>
        <w:rPr>
          <w:lang w:val="nl-NL"/>
        </w:rPr>
        <w:t>Al het metalen binnenpijpwerk is toegeleverd materiaal en is voorzien van geperste labia. Expressions zijn toegepast bij alle pijpen van Prestant en Viola, bij de Octaaf 4' (C-d</w:t>
      </w:r>
      <w:r>
        <w:rPr>
          <w:vertAlign w:val="superscript"/>
          <w:lang w:val="nl-NL"/>
        </w:rPr>
        <w:t>2</w:t>
      </w:r>
      <w:r>
        <w:rPr>
          <w:lang w:val="nl-NL"/>
        </w:rPr>
        <w:t>), bij de Octaaf 2' (C-f</w:t>
      </w:r>
      <w:r>
        <w:rPr>
          <w:vertAlign w:val="superscript"/>
          <w:lang w:val="nl-NL"/>
        </w:rPr>
        <w:t>1</w:t>
      </w:r>
      <w:r>
        <w:rPr>
          <w:lang w:val="nl-NL"/>
        </w:rPr>
        <w:t>) en bij de grotere pijpen van de Mixtuur.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LibreOffice/7.2.1.2$MacOSX_X86_64 LibreOffice_project/87b77fad49947c1441b67c559c339af8f3517e22</Application>
  <AppVersion>15.0000</AppVersion>
  <Pages>3</Pages>
  <Words>712</Words>
  <Characters>3828</Characters>
  <CharactersWithSpaces>4438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2008-02-27T15:47:00Z</dcterms:created>
  <dc:creator>WS1</dc:creator>
  <dc:description/>
  <dc:language>en-US</dc:language>
  <cp:lastModifiedBy>Hans Steketee</cp:lastModifiedBy>
  <dcterms:modified xsi:type="dcterms:W3CDTF">2009-09-29T12:09:00Z</dcterms:modified>
  <cp:revision>17</cp:revision>
  <dc:subject/>
  <dc:title>Niekerk (Hunsingo) / 1883</dc:title>
</cp:coreProperties>
</file>