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Nieuwegein-Vreeswijk / 1906</w:t>
      </w:r>
    </w:p>
    <w:p>
      <w:pPr>
        <w:pStyle w:val="Heading2"/>
        <w:rPr>
          <w:i w:val="false"/>
          <w:i w:val="false"/>
          <w:iCs/>
        </w:rPr>
      </w:pPr>
      <w:r>
        <w:rPr>
          <w:i w:val="false"/>
          <w:iCs/>
        </w:rPr>
        <w:t>Hervormde Kerk (Dorpskerk)</w:t>
      </w:r>
    </w:p>
    <w:p>
      <w:pPr>
        <w:pStyle w:val="T1"/>
        <w:jc w:val="start"/>
        <w:rPr>
          <w:i/>
          <w:i/>
          <w:iCs/>
          <w:lang w:val="nl-NL"/>
        </w:rPr>
      </w:pPr>
      <w:r>
        <w:rPr>
          <w:i/>
          <w:iCs/>
          <w:lang w:val="nl-NL"/>
        </w:rPr>
      </w:r>
    </w:p>
    <w:p>
      <w:pPr>
        <w:pStyle w:val="T1"/>
        <w:jc w:val="start"/>
        <w:rPr>
          <w:i/>
          <w:i/>
          <w:iCs/>
          <w:szCs w:val="22"/>
          <w:lang w:val="nl-NL"/>
        </w:rPr>
      </w:pPr>
      <w:r>
        <w:rPr>
          <w:i/>
          <w:iCs/>
          <w:szCs w:val="22"/>
          <w:lang w:val="nl-NL"/>
        </w:rPr>
        <w:t>Kerkgebouw uit 1682-1683 op kruisvormige plattegrond, gebouwd ter vervanging van een vergelijkbaar kerkgebouw uit op dezelfde plaats uit 1641, dat in 1672 werd verwoest. De kerk is in de periode 1963-1965 grondig gerestaureerd.</w:t>
      </w:r>
    </w:p>
    <w:p>
      <w:pPr>
        <w:pStyle w:val="T1"/>
        <w:jc w:val="start"/>
        <w:rPr>
          <w:i/>
          <w:i/>
          <w:iCs/>
          <w:szCs w:val="22"/>
          <w:lang w:val="nl-NL"/>
        </w:rPr>
      </w:pPr>
      <w:r>
        <w:rPr>
          <w:i/>
          <w:iCs/>
          <w:szCs w:val="22"/>
          <w:lang w:val="nl-NL"/>
        </w:rPr>
        <w:t xml:space="preserve">De kansel, met ionische hoekpilasters en versierde boogpanelen, de koperen lezenaar, de koperen doopbekkenhouder en één van de kronen dateren uit de bouwtijd. </w:t>
      </w:r>
      <w:r>
        <w:rPr>
          <w:i/>
          <w:iCs/>
          <w:lang w:val="nl-NL"/>
        </w:rPr>
        <w:t>In de toren bevindt zich een 15e eeuwse klok, die uit (de toren van) de Utrechtse Buurkerk afkomstig is.</w:t>
      </w:r>
    </w:p>
    <w:p>
      <w:pPr>
        <w:pStyle w:val="T1"/>
        <w:jc w:val="start"/>
        <w:rPr>
          <w:i/>
          <w:i/>
          <w:iCs/>
          <w:szCs w:val="22"/>
          <w:lang w:val="nl-NL"/>
        </w:rPr>
      </w:pPr>
      <w:r>
        <w:rPr>
          <w:i/>
          <w:iCs/>
          <w:szCs w:val="22"/>
          <w:lang w:val="nl-NL"/>
        </w:rPr>
      </w:r>
    </w:p>
    <w:p>
      <w:pPr>
        <w:pStyle w:val="T1"/>
        <w:jc w:val="start"/>
        <w:rPr>
          <w:lang w:val="nl-NL"/>
        </w:rPr>
      </w:pPr>
      <w:r>
        <w:rPr>
          <w:lang w:val="nl-NL"/>
        </w:rPr>
        <w:t>Kas: 1906</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pPr>
      <w:r>
        <w:rPr/>
        <w:t xml:space="preserve">Dit orgelfront markeert de overgang van de derde naar de vierde generatie van het huis Van Dam. </w:t>
      </w:r>
      <w:r>
        <w:rPr>
          <w:lang w:val="nl-NL"/>
        </w:rPr>
        <w:t>De hier gekozen frontindeling kan worden beschouwd als een voortzetting van het vijfledig frontontwerp dat in 1881 (Raamsdonk, deel 1878-1886, ) werd geïntroduceerd en is als zodanig een van de laatste echo’s van de tijd van de derde generatie Van Dam. De uitvoering is in stilistisch opzicht echter kenmerkend voor het werk van de vierde generatie.</w:t>
      </w:r>
    </w:p>
    <w:p>
      <w:pPr>
        <w:pStyle w:val="T2Kunst"/>
        <w:jc w:val="start"/>
        <w:rPr/>
      </w:pPr>
      <w:r>
        <w:rPr/>
        <w:t xml:space="preserve">Door de plaatsing van zeven frontpijpen in de torens in plaats van het voor de derde generatie karakteristieke aantal van vijf pijpen heeft het elegante karakter van het oorspronkelijk ontwerpplaats gemaakt voor een meer robuuste verschijning. Maar de grootste verandering geldt toch wel de toegepaste ornamentiek. </w:t>
      </w:r>
      <w:r>
        <w:rPr>
          <w:lang w:val="nl-NL"/>
        </w:rPr>
        <w:t>Op dit gebied is het aan de Franse meubelstijlen ontleende repertoire verlaten en heeft de neorenaissance zijn intrede gedaan.</w:t>
      </w:r>
    </w:p>
    <w:p>
      <w:pPr>
        <w:pStyle w:val="T2Kunst"/>
        <w:jc w:val="start"/>
        <w:rPr/>
      </w:pPr>
      <w:r>
        <w:rPr/>
        <w:t>In dit kader zijn in de eerste plaats de ronde torens vervangen door torens met een trapeziumvormig grondvlak. Ze worden ondersteund door culs-de-lampe met voluutvormen als ‘ribben’ en schubmotieven als vullingen ertussenin. Ook de bekroningen van de zijtorens zijn uit een samenstel van voluutvormen opgebouwd. Grote rond gedraaide knoppen vormen hier de bovenste bekroning. De meer volumineuze bekroning van de middentoren bestaat uit een iets taps toelopende. oprijzende huls, met daaromheen gegroepeerd drie halfronde frontons op piedestals.</w:t>
      </w:r>
    </w:p>
    <w:p>
      <w:pPr>
        <w:pStyle w:val="T2Kunst"/>
        <w:jc w:val="start"/>
        <w:rPr/>
      </w:pPr>
      <w:r>
        <w:rPr/>
        <w:t>Het ornament boven de tussenvelden herinnert nog aan het werk van de jaren ’90, toen de neorenaissance-stijl bij sommige elementen al zichtbaar werd in de Van Dam-fronten. De hoofdlijn wordt ook hier weer door een voluut gevormd.</w:t>
      </w:r>
    </w:p>
    <w:p>
      <w:pPr>
        <w:pStyle w:val="T2Kunst"/>
        <w:jc w:val="start"/>
        <w:rPr/>
      </w:pPr>
      <w:r>
        <w:rPr/>
        <w:t>Blinderingen zijn bij dit front alleen toegepast bij de boveneinden van de pijpen. Ze bestaan uit hangende figuren, die met palmetten in verband kunnen worden gebracht.</w:t>
      </w:r>
    </w:p>
    <w:p>
      <w:pPr>
        <w:pStyle w:val="T2Kunst"/>
        <w:jc w:val="start"/>
        <w:rPr/>
      </w:pPr>
      <w:r>
        <w:rPr/>
        <w:t>Opmerkelijk zijn tenslotte de wel heel minuscule vleugelstukjes.</w:t>
      </w:r>
    </w:p>
    <w:p>
      <w:pPr>
        <w:pStyle w:val="T2Kunst"/>
        <w:jc w:val="start"/>
        <w:rPr/>
      </w:pPr>
      <w:r>
        <w:rPr/>
        <w:t>De kerkrestauratie heeft rond het orgel nogal wat veranderingen met zich meegebracht. Oorspronkelijk bevond zich achter het orgel een houten beschieting waarop een groot geschilderd opgenomen gordijn te zien was. Aan weerskanten van het orgel bevond zich een brede toegangsdeur. De balustrade met balusters, die nu alleen nog aan weerszijden van de orgelkas te zien is, was meer naar voren geplaatst, en werd op trapeziumvormige wijze vóór het front langs geleid. De hierdoor ontstane uitstulping vormde het klankbord van de kansel.</w:t>
      </w:r>
    </w:p>
    <w:p>
      <w:pPr>
        <w:pStyle w:val="T2Kunst"/>
        <w:jc w:val="start"/>
        <w:rPr/>
      </w:pPr>
      <w:r>
        <w:rPr/>
        <w:t>De kleur van de kas was donker, de blinderingen waren evenals nu verguld, maar in de grotere ornamenten was meer kleurschakering aanwezig dan nu het geval is.</w:t>
      </w:r>
    </w:p>
    <w:p>
      <w:pPr>
        <w:pStyle w:val="T2Kunst"/>
        <w:jc w:val="start"/>
        <w:rPr/>
      </w:pPr>
      <w:r>
        <w:rPr/>
      </w:r>
    </w:p>
    <w:p>
      <w:pPr>
        <w:pStyle w:val="T3Lit"/>
        <w:rPr>
          <w:b/>
          <w:b/>
          <w:bCs/>
          <w:lang w:val="nl-NL"/>
        </w:rPr>
      </w:pPr>
      <w:r>
        <w:rPr>
          <w:b/>
          <w:bCs/>
          <w:lang w:val="nl-NL"/>
        </w:rPr>
        <w:t>Literatuur</w:t>
      </w:r>
    </w:p>
    <w:p>
      <w:pPr>
        <w:pStyle w:val="T3Lit"/>
        <w:jc w:val="start"/>
        <w:rPr/>
      </w:pPr>
      <w:r>
        <w:rPr>
          <w:lang w:val="nl-NL"/>
        </w:rPr>
        <w:t xml:space="preserve">A. Brom Jr., ‘Een Orgelmaker-chirurgijn te Vreeswijk’, in: </w:t>
      </w:r>
      <w:r>
        <w:rPr>
          <w:i/>
          <w:iCs/>
          <w:lang w:val="nl-NL"/>
        </w:rPr>
        <w:t>Het Orgel</w:t>
      </w:r>
      <w:r>
        <w:rPr>
          <w:lang w:val="nl-NL"/>
        </w:rPr>
        <w:t>, ../.. (1913), 63.</w:t>
      </w:r>
    </w:p>
    <w:p>
      <w:pPr>
        <w:pStyle w:val="T3Lit"/>
        <w:jc w:val="start"/>
        <w:rPr/>
      </w:pPr>
      <w:r>
        <w:rPr>
          <w:lang w:val="nl-NL"/>
        </w:rPr>
        <w:t xml:space="preserve">H. van Lingen, </w:t>
      </w:r>
      <w:r>
        <w:rPr>
          <w:i/>
          <w:lang w:val="nl-NL"/>
        </w:rPr>
        <w:t>De restauratie van het orgel in de Dorpskerk te Vreeswijk</w:t>
      </w:r>
      <w:r>
        <w:rPr>
          <w:lang w:val="nl-NL"/>
        </w:rPr>
        <w:t>. Nieuwegein, 1977.</w:t>
      </w:r>
    </w:p>
    <w:p>
      <w:pPr>
        <w:pStyle w:val="T3Lit"/>
        <w:jc w:val="start"/>
        <w:rPr/>
      </w:pPr>
      <w:r>
        <w:rPr>
          <w:i/>
          <w:lang w:val="nl-NL"/>
        </w:rPr>
        <w:t>Het Orgel</w:t>
      </w:r>
      <w:r>
        <w:rPr>
          <w:lang w:val="nl-NL"/>
        </w:rPr>
        <w:t>, 73/11 (1977), 361, 363.</w:t>
      </w:r>
    </w:p>
    <w:p>
      <w:pPr>
        <w:pStyle w:val="T3Lit"/>
        <w:jc w:val="start"/>
        <w:rPr/>
      </w:pPr>
      <w:r>
        <w:rPr>
          <w:i/>
          <w:lang w:val="nl-NL"/>
        </w:rPr>
        <w:t>De Orgelvriend</w:t>
      </w:r>
      <w:r>
        <w:rPr>
          <w:lang w:val="nl-NL"/>
        </w:rPr>
        <w:t>, 19/9 (1977), ..</w:t>
      </w:r>
    </w:p>
    <w:p>
      <w:pPr>
        <w:pStyle w:val="T3Lit"/>
        <w:jc w:val="start"/>
        <w:rPr/>
      </w:pPr>
      <w:r>
        <w:rPr>
          <w:lang w:val="nl-NL"/>
        </w:rPr>
        <w:t xml:space="preserve">Bert Wisgerhof, </w:t>
      </w:r>
      <w:r>
        <w:rPr>
          <w:i/>
          <w:lang w:val="nl-NL"/>
        </w:rPr>
        <w:t>Utrechts Orgellandschap</w:t>
      </w:r>
      <w:r>
        <w:rPr>
          <w:lang w:val="nl-NL"/>
        </w:rPr>
        <w:t>. Amersfoort, 1979, 232-233.</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L. van Dam en Zonen</w:t>
      </w:r>
    </w:p>
    <w:p>
      <w:pPr>
        <w:pStyle w:val="T1"/>
        <w:jc w:val="start"/>
        <w:rPr>
          <w:lang w:val="nl-NL"/>
        </w:rPr>
      </w:pPr>
      <w:r>
        <w:rPr>
          <w:lang w:val="nl-NL"/>
        </w:rPr>
        <w:t>2. J.L. van den Heuvel</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1. 1906</w:t>
      </w:r>
    </w:p>
    <w:p>
      <w:pPr>
        <w:pStyle w:val="T1"/>
        <w:jc w:val="start"/>
        <w:rPr>
          <w:lang w:val="nl-NL"/>
        </w:rPr>
      </w:pPr>
      <w:r>
        <w:rPr>
          <w:lang w:val="nl-NL"/>
        </w:rPr>
        <w:t>2. 1977</w:t>
      </w:r>
    </w:p>
    <w:p>
      <w:pPr>
        <w:pStyle w:val="T1"/>
        <w:jc w:val="start"/>
        <w:rPr>
          <w:lang w:val="nl-NL"/>
        </w:rPr>
      </w:pPr>
      <w:r>
        <w:rPr>
          <w:lang w:val="nl-NL"/>
        </w:rPr>
      </w:r>
    </w:p>
    <w:p>
      <w:pPr>
        <w:pStyle w:val="T1"/>
        <w:jc w:val="start"/>
        <w:rPr/>
      </w:pPr>
      <w:r>
        <w:rPr/>
        <w:t xml:space="preserve">Dispositie 1906 </w:t>
      </w:r>
    </w:p>
    <w:tbl>
      <w:tblPr>
        <w:tblW w:w="4210" w:type="dxa"/>
        <w:jc w:val="start"/>
        <w:tblInd w:w="-70" w:type="dxa"/>
        <w:tblLayout w:type="fixed"/>
        <w:tblCellMar>
          <w:top w:w="0" w:type="dxa"/>
          <w:start w:w="70" w:type="dxa"/>
          <w:bottom w:w="0" w:type="dxa"/>
          <w:end w:w="70" w:type="dxa"/>
        </w:tblCellMar>
      </w:tblPr>
      <w:tblGrid>
        <w:gridCol w:w="1330"/>
        <w:gridCol w:w="720"/>
        <w:gridCol w:w="1620"/>
        <w:gridCol w:w="540"/>
      </w:tblGrid>
      <w:tr>
        <w:trPr/>
        <w:tc>
          <w:tcPr>
            <w:tcW w:w="1330" w:type="dxa"/>
            <w:tcBorders/>
          </w:tcPr>
          <w:p>
            <w:pPr>
              <w:pStyle w:val="T4dispositie"/>
              <w:rPr>
                <w:i/>
                <w:i/>
                <w:iCs/>
                <w:lang w:val="nl-NL"/>
              </w:rPr>
            </w:pPr>
            <w:r>
              <w:rPr>
                <w:i/>
                <w:iCs/>
                <w:lang w:val="nl-NL"/>
              </w:rPr>
              <w:t>Manuaal I</w:t>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Violoncel</w:t>
            </w:r>
          </w:p>
          <w:p>
            <w:pPr>
              <w:pStyle w:val="T4dispositie"/>
              <w:rPr>
                <w:lang w:val="nl-NL"/>
              </w:rPr>
            </w:pPr>
            <w:r>
              <w:rPr>
                <w:lang w:val="nl-NL"/>
              </w:rPr>
              <w:t>Octaaf</w:t>
            </w:r>
          </w:p>
          <w:p>
            <w:pPr>
              <w:pStyle w:val="T4dispositie"/>
              <w:rPr>
                <w:lang w:val="nl-NL"/>
              </w:rPr>
            </w:pPr>
            <w:r>
              <w:rPr>
                <w:lang w:val="nl-NL"/>
              </w:rPr>
              <w:t>Roerfluit</w:t>
            </w:r>
          </w:p>
          <w:p>
            <w:pPr>
              <w:pStyle w:val="T4dispositie"/>
              <w:rPr>
                <w:lang w:val="nl-NL"/>
              </w:rPr>
            </w:pPr>
            <w:r>
              <w:rPr>
                <w:lang w:val="nl-NL"/>
              </w:rPr>
              <w:t>Octaaf</w:t>
            </w:r>
          </w:p>
          <w:p>
            <w:pPr>
              <w:pStyle w:val="T4dispositie"/>
              <w:rPr>
                <w:lang w:val="nl-NL"/>
              </w:rPr>
            </w:pPr>
            <w:r>
              <w:rPr>
                <w:lang w:val="nl-NL"/>
              </w:rPr>
              <w:t>Cornet D</w:t>
            </w:r>
          </w:p>
          <w:p>
            <w:pPr>
              <w:pStyle w:val="T4dispositie"/>
              <w:rPr>
                <w:lang w:val="nl-NL"/>
              </w:rPr>
            </w:pPr>
            <w:r>
              <w:rPr>
                <w:lang w:val="nl-NL"/>
              </w:rPr>
              <w:t>Trompet B/D</w:t>
            </w:r>
          </w:p>
        </w:tc>
        <w:tc>
          <w:tcPr>
            <w:tcW w:w="720"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en-GB"/>
              </w:rPr>
            </w:pPr>
            <w:r>
              <w:rPr>
                <w:lang w:val="en-GB"/>
              </w:rPr>
              <w:t>2'</w:t>
            </w:r>
          </w:p>
          <w:p>
            <w:pPr>
              <w:pStyle w:val="T4dispositie"/>
              <w:rPr>
                <w:lang w:val="en-GB"/>
              </w:rPr>
            </w:pPr>
            <w:r>
              <w:rPr>
                <w:lang w:val="en-GB"/>
              </w:rPr>
              <w:t>3 st.</w:t>
            </w:r>
          </w:p>
          <w:p>
            <w:pPr>
              <w:pStyle w:val="T4dispositie"/>
              <w:rPr>
                <w:lang w:val="en-GB"/>
              </w:rPr>
            </w:pPr>
            <w:r>
              <w:rPr>
                <w:lang w:val="en-GB"/>
              </w:rPr>
              <w:t>8'</w:t>
            </w:r>
          </w:p>
        </w:tc>
        <w:tc>
          <w:tcPr>
            <w:tcW w:w="1620" w:type="dxa"/>
            <w:tcBorders/>
          </w:tcPr>
          <w:p>
            <w:pPr>
              <w:pStyle w:val="T4dispositie"/>
              <w:rPr>
                <w:i/>
                <w:i/>
                <w:lang w:val="en-GB"/>
              </w:rPr>
            </w:pPr>
            <w:r>
              <w:rPr>
                <w:i/>
                <w:lang w:val="en-GB"/>
              </w:rPr>
              <w:t>Manuaal II</w:t>
            </w:r>
          </w:p>
          <w:p>
            <w:pPr>
              <w:pStyle w:val="T4dispositie"/>
              <w:rPr>
                <w:lang w:val="en-GB"/>
              </w:rPr>
            </w:pPr>
            <w:r>
              <w:rPr>
                <w:lang w:val="en-GB"/>
              </w:rPr>
              <w:t>Fluit dolce</w:t>
            </w:r>
          </w:p>
          <w:p>
            <w:pPr>
              <w:pStyle w:val="T4dispositie"/>
              <w:rPr>
                <w:lang w:val="en-GB"/>
              </w:rPr>
            </w:pPr>
            <w:r>
              <w:rPr>
                <w:lang w:val="en-GB"/>
              </w:rPr>
              <w:t>Salicional</w:t>
            </w:r>
          </w:p>
          <w:p>
            <w:pPr>
              <w:pStyle w:val="T4dispositie"/>
              <w:rPr>
                <w:lang w:val="nl-NL"/>
              </w:rPr>
            </w:pPr>
            <w:r>
              <w:rPr>
                <w:lang w:val="nl-NL"/>
              </w:rPr>
              <w:t>Gamba</w:t>
            </w:r>
          </w:p>
          <w:p>
            <w:pPr>
              <w:pStyle w:val="T4dispositie"/>
              <w:rPr>
                <w:lang w:val="nl-NL"/>
              </w:rPr>
            </w:pPr>
            <w:r>
              <w:rPr>
                <w:lang w:val="nl-NL"/>
              </w:rPr>
              <w:t>Fluit</w:t>
            </w:r>
          </w:p>
          <w:p>
            <w:pPr>
              <w:pStyle w:val="T4dispositie"/>
              <w:rPr>
                <w:lang w:val="nl-NL"/>
              </w:rPr>
            </w:pPr>
            <w:r>
              <w:rPr>
                <w:lang w:val="nl-NL"/>
              </w:rPr>
              <w:t>Gemshoorn</w:t>
            </w:r>
          </w:p>
          <w:p>
            <w:pPr>
              <w:pStyle w:val="T4dispositie"/>
              <w:rPr>
                <w:lang w:val="nl-NL"/>
              </w:rPr>
            </w:pPr>
            <w:r>
              <w:rPr>
                <w:lang w:val="nl-NL"/>
              </w:rPr>
              <w:t>open plaats</w:t>
            </w:r>
          </w:p>
        </w:tc>
        <w:tc>
          <w:tcPr>
            <w:tcW w:w="540"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tc>
      </w:tr>
    </w:tbl>
    <w:p>
      <w:pPr>
        <w:pStyle w:val="T1"/>
        <w:jc w:val="start"/>
        <w:rPr>
          <w:sz w:val="20"/>
          <w:lang w:val="nl-NL"/>
        </w:rPr>
      </w:pPr>
      <w:r>
        <w:rPr>
          <w:sz w:val="20"/>
          <w:lang w:val="nl-NL"/>
        </w:rPr>
      </w:r>
    </w:p>
    <w:p>
      <w:pPr>
        <w:pStyle w:val="T1"/>
        <w:jc w:val="start"/>
        <w:rPr>
          <w:sz w:val="20"/>
          <w:lang w:val="nl-NL"/>
        </w:rPr>
      </w:pPr>
      <w:r>
        <w:rPr>
          <w:sz w:val="20"/>
          <w:lang w:val="nl-NL"/>
        </w:rPr>
        <w:t>manuaalkoppel</w:t>
      </w:r>
    </w:p>
    <w:p>
      <w:pPr>
        <w:pStyle w:val="T1"/>
        <w:jc w:val="start"/>
        <w:rPr>
          <w:sz w:val="20"/>
          <w:lang w:val="nl-NL"/>
        </w:rPr>
      </w:pPr>
      <w:r>
        <w:rPr>
          <w:sz w:val="20"/>
          <w:lang w:val="nl-NL"/>
        </w:rPr>
        <w:t>tremulant Man II</w:t>
      </w:r>
    </w:p>
    <w:p>
      <w:pPr>
        <w:pStyle w:val="T1"/>
        <w:jc w:val="start"/>
        <w:rPr>
          <w:sz w:val="20"/>
          <w:lang w:val="nl-NL"/>
        </w:rPr>
      </w:pPr>
      <w:r>
        <w:rPr>
          <w:sz w:val="20"/>
          <w:lang w:val="nl-NL"/>
        </w:rPr>
        <w:t>aangehangen pedaal</w:t>
      </w:r>
    </w:p>
    <w:p>
      <w:pPr>
        <w:pStyle w:val="T1"/>
        <w:jc w:val="start"/>
        <w:rPr>
          <w:sz w:val="20"/>
          <w:lang w:val="nl-NL"/>
        </w:rPr>
      </w:pPr>
      <w:r>
        <w:rPr>
          <w:sz w:val="20"/>
          <w:lang w:val="nl-NL"/>
        </w:rPr>
      </w:r>
    </w:p>
    <w:p>
      <w:pPr>
        <w:pStyle w:val="T1"/>
        <w:jc w:val="start"/>
        <w:rPr>
          <w:lang w:val="nl-NL"/>
        </w:rPr>
      </w:pPr>
      <w:r>
        <w:rPr>
          <w:lang w:val="nl-NL"/>
        </w:rPr>
        <w:t>Onbekend moment</w:t>
      </w:r>
    </w:p>
    <w:p>
      <w:pPr>
        <w:pStyle w:val="T1"/>
        <w:jc w:val="start"/>
        <w:rPr>
          <w:lang w:val="nl-NL"/>
        </w:rPr>
      </w:pPr>
      <w:r>
        <w:rPr>
          <w:lang w:val="nl-NL"/>
        </w:rPr>
        <w:t>Man II + Aeoline 8'</w:t>
      </w:r>
    </w:p>
    <w:p>
      <w:pPr>
        <w:pStyle w:val="T1"/>
        <w:jc w:val="start"/>
        <w:rPr>
          <w:lang w:val="nl-NL"/>
        </w:rPr>
      </w:pPr>
      <w:r>
        <w:rPr>
          <w:lang w:val="nl-NL"/>
        </w:rPr>
      </w:r>
    </w:p>
    <w:p>
      <w:pPr>
        <w:pStyle w:val="T1"/>
        <w:jc w:val="start"/>
        <w:rPr>
          <w:lang w:val="nl-NL"/>
        </w:rPr>
      </w:pPr>
      <w:r>
        <w:rPr>
          <w:lang w:val="nl-NL"/>
        </w:rPr>
        <w:t>ca 1965</w:t>
      </w:r>
    </w:p>
    <w:p>
      <w:pPr>
        <w:pStyle w:val="T1"/>
        <w:jc w:val="start"/>
        <w:rPr>
          <w:lang w:val="nl-NL"/>
        </w:rPr>
      </w:pPr>
      <w:r>
        <w:rPr>
          <w:lang w:val="nl-NL"/>
        </w:rPr>
        <w:t>.</w:t>
        <w:tab/>
        <w:t>orgel gewijzigd na kerkrestauratie</w:t>
      </w:r>
    </w:p>
    <w:p>
      <w:pPr>
        <w:pStyle w:val="T1"/>
        <w:jc w:val="start"/>
        <w:rPr>
          <w:lang w:val="nl-NL"/>
        </w:rPr>
      </w:pPr>
      <w:r>
        <w:rPr>
          <w:lang w:val="nl-NL"/>
        </w:rPr>
        <w:t>.</w:t>
        <w:tab/>
        <w:t>originele magazijnbalg vervangen door regulateurs</w:t>
      </w:r>
    </w:p>
    <w:p>
      <w:pPr>
        <w:pStyle w:val="T1"/>
        <w:jc w:val="start"/>
        <w:rPr>
          <w:lang w:val="nl-NL"/>
        </w:rPr>
      </w:pPr>
      <w:r>
        <w:rPr>
          <w:lang w:val="nl-NL"/>
        </w:rPr>
      </w:r>
    </w:p>
    <w:p>
      <w:pPr>
        <w:pStyle w:val="T1"/>
        <w:jc w:val="start"/>
        <w:rPr>
          <w:lang w:val="nl-NL"/>
        </w:rPr>
      </w:pPr>
      <w:r>
        <w:rPr>
          <w:lang w:val="nl-NL"/>
        </w:rPr>
        <w:t>J.L. van den Heuvel 1977</w:t>
      </w:r>
    </w:p>
    <w:p>
      <w:pPr>
        <w:pStyle w:val="T1"/>
        <w:jc w:val="start"/>
        <w:rPr>
          <w:lang w:val="nl-NL"/>
        </w:rPr>
      </w:pPr>
      <w:r>
        <w:rPr>
          <w:lang w:val="nl-NL"/>
        </w:rPr>
        <w:t>.</w:t>
        <w:tab/>
        <w:t>orgel gerestaureerd en uitgebreid met vrij Ped</w:t>
      </w:r>
    </w:p>
    <w:p>
      <w:pPr>
        <w:pStyle w:val="T1"/>
        <w:jc w:val="start"/>
        <w:rPr>
          <w:lang w:val="nl-NL"/>
        </w:rPr>
      </w:pPr>
      <w:r>
        <w:rPr>
          <w:lang w:val="nl-NL"/>
        </w:rPr>
        <w:t>.</w:t>
        <w:tab/>
        <w:t>nieuwe frontpijpen</w:t>
      </w:r>
    </w:p>
    <w:p>
      <w:pPr>
        <w:pStyle w:val="T1"/>
        <w:jc w:val="start"/>
        <w:rPr>
          <w:lang w:val="nl-NL"/>
        </w:rPr>
      </w:pPr>
      <w:r>
        <w:rPr>
          <w:lang w:val="nl-NL"/>
        </w:rPr>
        <w:t>.</w:t>
        <w:tab/>
        <w:t>nieuwe windvoorziening</w:t>
      </w:r>
    </w:p>
    <w:p>
      <w:pPr>
        <w:pStyle w:val="T1"/>
        <w:jc w:val="start"/>
        <w:rPr>
          <w:lang w:val="nl-NL"/>
        </w:rPr>
      </w:pPr>
      <w:r>
        <w:rPr>
          <w:lang w:val="nl-NL"/>
        </w:rPr>
        <w:t>.</w:t>
        <w:tab/>
        <w:t>nieuw pedaalklavier (?) en nieuwe registeropschriften</w:t>
      </w:r>
    </w:p>
    <w:p>
      <w:pPr>
        <w:pStyle w:val="T1"/>
        <w:jc w:val="start"/>
        <w:rPr>
          <w:lang w:val="nl-NL"/>
        </w:rPr>
      </w:pPr>
      <w:r>
        <w:rPr>
          <w:lang w:val="nl-NL"/>
        </w:rPr>
        <w:t>.</w:t>
        <w:tab/>
        <w:t>dispositiewijzigingen:</w:t>
      </w:r>
    </w:p>
    <w:p>
      <w:pPr>
        <w:pStyle w:val="T1"/>
        <w:jc w:val="start"/>
        <w:rPr>
          <w:lang w:val="nl-NL"/>
        </w:rPr>
      </w:pPr>
      <w:r>
        <w:rPr>
          <w:lang w:val="nl-NL"/>
        </w:rPr>
        <w:tab/>
        <w:t>HW - Bourdon 16', + Mixtuur 3-4 st.; Trompet 8' vervangen</w:t>
      </w:r>
    </w:p>
    <w:p>
      <w:pPr>
        <w:pStyle w:val="T1"/>
        <w:jc w:val="start"/>
        <w:rPr/>
      </w:pPr>
      <w:r>
        <w:rPr>
          <w:lang w:val="nl-NL"/>
        </w:rPr>
        <w:tab/>
      </w:r>
      <w:r>
        <w:rPr>
          <w:lang w:val="en-GB"/>
        </w:rPr>
        <w:t>DW - Gamba 8', - Aeoline 8', + Nasard 3', + Dulciaan 8'</w:t>
      </w:r>
    </w:p>
    <w:p>
      <w:pPr>
        <w:pStyle w:val="T1"/>
        <w:jc w:val="start"/>
        <w:rPr/>
      </w:pPr>
      <w:r>
        <w:rPr>
          <w:lang w:val="en-GB"/>
        </w:rPr>
        <w:tab/>
      </w:r>
      <w:r>
        <w:rPr>
          <w:lang w:val="nl-NL"/>
        </w:rPr>
        <w:t>Ped + Bourdon 16' (van HW), + Gedekt 8' (tr)</w:t>
      </w:r>
    </w:p>
    <w:p>
      <w:pPr>
        <w:pStyle w:val="T1"/>
        <w:jc w:val="start"/>
        <w:rPr>
          <w:lang w:val="nl-NL"/>
        </w:rPr>
      </w:pPr>
      <w:r>
        <w:rPr>
          <w:lang w:val="nl-NL"/>
        </w:rPr>
        <w:t>.</w:t>
        <w:tab/>
        <w:t>mogelijk bij die gelegenheid HW pijpwerk Holpijp 8' en Roerfluit 4' deels verwisseld</w:t>
      </w:r>
    </w:p>
    <w:p>
      <w:pPr>
        <w:pStyle w:val="T1"/>
        <w:jc w:val="start"/>
        <w:rPr>
          <w:lang w:val="nl-NL"/>
        </w:rPr>
      </w:pPr>
      <w:r>
        <w:rPr>
          <w:lang w:val="nl-NL"/>
        </w:rPr>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dwarswerk, pedaal</w:t>
      </w:r>
    </w:p>
    <w:p>
      <w:pPr>
        <w:pStyle w:val="T1"/>
        <w:jc w:val="start"/>
        <w:rPr>
          <w:lang w:val="nl-NL"/>
        </w:rPr>
      </w:pPr>
      <w:r>
        <w:rPr>
          <w:lang w:val="nl-NL"/>
        </w:rPr>
      </w:r>
    </w:p>
    <w:p>
      <w:pPr>
        <w:pStyle w:val="T1"/>
        <w:jc w:val="start"/>
        <w:rPr/>
      </w:pPr>
      <w:r>
        <w:rPr/>
        <w:t xml:space="preserve">Dispositie </w:t>
      </w:r>
    </w:p>
    <w:tbl>
      <w:tblPr>
        <w:tblW w:w="6010" w:type="dxa"/>
        <w:jc w:val="start"/>
        <w:tblInd w:w="-70" w:type="dxa"/>
        <w:tblLayout w:type="fixed"/>
        <w:tblCellMar>
          <w:top w:w="0" w:type="dxa"/>
          <w:start w:w="70" w:type="dxa"/>
          <w:bottom w:w="0" w:type="dxa"/>
          <w:end w:w="70" w:type="dxa"/>
        </w:tblCellMar>
      </w:tblPr>
      <w:tblGrid>
        <w:gridCol w:w="1330"/>
        <w:gridCol w:w="720"/>
        <w:gridCol w:w="1620"/>
        <w:gridCol w:w="540"/>
        <w:gridCol w:w="1080"/>
        <w:gridCol w:w="720"/>
      </w:tblGrid>
      <w:tr>
        <w:trPr/>
        <w:tc>
          <w:tcPr>
            <w:tcW w:w="1330" w:type="dxa"/>
            <w:tcBorders/>
          </w:tcPr>
          <w:p>
            <w:pPr>
              <w:pStyle w:val="T4dispositie"/>
              <w:rPr>
                <w:i/>
                <w:i/>
                <w:iCs/>
                <w:lang w:val="nl-NL"/>
              </w:rPr>
            </w:pPr>
            <w:r>
              <w:rPr>
                <w:i/>
                <w:iCs/>
                <w:lang w:val="nl-NL"/>
              </w:rPr>
              <w:t>Hoofdwerk (I)</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Praestant</w:t>
            </w:r>
          </w:p>
          <w:p>
            <w:pPr>
              <w:pStyle w:val="T4dispositie"/>
              <w:rPr>
                <w:lang w:val="nl-NL"/>
              </w:rPr>
            </w:pPr>
            <w:r>
              <w:rPr>
                <w:lang w:val="nl-NL"/>
              </w:rPr>
              <w:t>Bourdon</w:t>
            </w:r>
          </w:p>
          <w:p>
            <w:pPr>
              <w:pStyle w:val="T4dispositie"/>
              <w:rPr>
                <w:lang w:val="nl-NL"/>
              </w:rPr>
            </w:pPr>
            <w:r>
              <w:rPr>
                <w:lang w:val="nl-NL"/>
              </w:rPr>
              <w:t>Gamba</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Octaaf</w:t>
            </w:r>
          </w:p>
          <w:p>
            <w:pPr>
              <w:pStyle w:val="T4dispositie"/>
              <w:rPr>
                <w:lang w:val="nl-NL"/>
              </w:rPr>
            </w:pPr>
            <w:r>
              <w:rPr>
                <w:lang w:val="nl-NL"/>
              </w:rPr>
              <w:t>Mixtuur</w:t>
            </w:r>
          </w:p>
          <w:p>
            <w:pPr>
              <w:pStyle w:val="T4dispositie"/>
              <w:rPr>
                <w:lang w:val="en-GB"/>
              </w:rPr>
            </w:pPr>
            <w:r>
              <w:rPr>
                <w:lang w:val="en-GB"/>
              </w:rPr>
              <w:t>Cornet [D]</w:t>
            </w:r>
          </w:p>
          <w:p>
            <w:pPr>
              <w:pStyle w:val="T4dispositie"/>
              <w:rPr>
                <w:lang w:val="en-GB"/>
              </w:rPr>
            </w:pPr>
            <w:r>
              <w:rPr>
                <w:lang w:val="en-GB"/>
              </w:rPr>
              <w:t>Trompet</w:t>
            </w:r>
          </w:p>
        </w:tc>
        <w:tc>
          <w:tcPr>
            <w:tcW w:w="720" w:type="dxa"/>
            <w:tcBorders/>
          </w:tcPr>
          <w:p>
            <w:pPr>
              <w:pStyle w:val="T4dispositie"/>
              <w:snapToGrid w:val="false"/>
              <w:rPr>
                <w:lang w:val="en-GB"/>
              </w:rPr>
            </w:pPr>
            <w:r>
              <w:rPr>
                <w:lang w:val="en-GB"/>
              </w:rPr>
            </w:r>
          </w:p>
          <w:p>
            <w:pPr>
              <w:pStyle w:val="T4dispositie"/>
              <w:rPr>
                <w:lang w:val="en-GB"/>
              </w:rPr>
            </w:pPr>
            <w:r>
              <w:rPr>
                <w:lang w:val="en-GB"/>
              </w:rPr>
            </w:r>
          </w:p>
          <w:p>
            <w:pPr>
              <w:pStyle w:val="T4dispositie"/>
              <w:rPr>
                <w:lang w:val="en-GB"/>
              </w:rPr>
            </w:pPr>
            <w:r>
              <w:rPr>
                <w:lang w:val="en-GB"/>
              </w:rPr>
            </w:r>
          </w:p>
          <w:p>
            <w:pPr>
              <w:pStyle w:val="T4dispositie"/>
              <w:rPr>
                <w:lang w:val="en-GB"/>
              </w:rPr>
            </w:pPr>
            <w:r>
              <w:rPr>
                <w:lang w:val="en-GB"/>
              </w:rPr>
              <w:t>8'</w:t>
            </w:r>
          </w:p>
          <w:p>
            <w:pPr>
              <w:pStyle w:val="T4dispositie"/>
              <w:rPr>
                <w:lang w:val="en-GB"/>
              </w:rPr>
            </w:pPr>
            <w:r>
              <w:rPr>
                <w:lang w:val="en-GB"/>
              </w:rPr>
              <w:t>8'</w:t>
            </w:r>
          </w:p>
          <w:p>
            <w:pPr>
              <w:pStyle w:val="T4dispositie"/>
              <w:rPr>
                <w:lang w:val="en-GB"/>
              </w:rPr>
            </w:pPr>
            <w:r>
              <w:rPr>
                <w:lang w:val="en-GB"/>
              </w:rPr>
              <w:t>8'</w:t>
            </w:r>
          </w:p>
          <w:p>
            <w:pPr>
              <w:pStyle w:val="T4dispositie"/>
              <w:rPr>
                <w:lang w:val="en-GB"/>
              </w:rPr>
            </w:pPr>
            <w:r>
              <w:rPr>
                <w:lang w:val="en-GB"/>
              </w:rPr>
              <w:t>4'</w:t>
            </w:r>
          </w:p>
          <w:p>
            <w:pPr>
              <w:pStyle w:val="T4dispositie"/>
              <w:rPr>
                <w:lang w:val="en-GB"/>
              </w:rPr>
            </w:pPr>
            <w:r>
              <w:rPr>
                <w:lang w:val="en-GB"/>
              </w:rPr>
              <w:t>4'</w:t>
            </w:r>
          </w:p>
          <w:p>
            <w:pPr>
              <w:pStyle w:val="T4dispositie"/>
              <w:rPr>
                <w:lang w:val="en-GB"/>
              </w:rPr>
            </w:pPr>
            <w:r>
              <w:rPr>
                <w:lang w:val="en-GB"/>
              </w:rPr>
              <w:t>2'</w:t>
            </w:r>
          </w:p>
          <w:p>
            <w:pPr>
              <w:pStyle w:val="T4dispositie"/>
              <w:rPr>
                <w:lang w:val="en-GB"/>
              </w:rPr>
            </w:pPr>
            <w:r>
              <w:rPr>
                <w:lang w:val="en-GB"/>
              </w:rPr>
              <w:t>3-4 st.</w:t>
            </w:r>
          </w:p>
          <w:p>
            <w:pPr>
              <w:pStyle w:val="T4dispositie"/>
              <w:rPr>
                <w:lang w:val="en-GB"/>
              </w:rPr>
            </w:pPr>
            <w:r>
              <w:rPr>
                <w:lang w:val="en-GB"/>
              </w:rPr>
              <w:t>3 st.</w:t>
            </w:r>
          </w:p>
          <w:p>
            <w:pPr>
              <w:pStyle w:val="T4dispositie"/>
              <w:rPr>
                <w:lang w:val="en-GB"/>
              </w:rPr>
            </w:pPr>
            <w:r>
              <w:rPr>
                <w:lang w:val="en-GB"/>
              </w:rPr>
              <w:t>8'</w:t>
            </w:r>
          </w:p>
        </w:tc>
        <w:tc>
          <w:tcPr>
            <w:tcW w:w="1620" w:type="dxa"/>
            <w:tcBorders/>
          </w:tcPr>
          <w:p>
            <w:pPr>
              <w:pStyle w:val="T4dispositie"/>
              <w:rPr>
                <w:i/>
                <w:i/>
                <w:lang w:val="en-GB"/>
              </w:rPr>
            </w:pPr>
            <w:r>
              <w:rPr>
                <w:i/>
                <w:lang w:val="en-GB"/>
              </w:rPr>
              <w:t>Dwarswerk (II)</w:t>
            </w:r>
          </w:p>
          <w:p>
            <w:pPr>
              <w:pStyle w:val="T4dispositie"/>
              <w:rPr>
                <w:lang w:val="fr-FR"/>
              </w:rPr>
            </w:pPr>
            <w:r>
              <w:rPr>
                <w:lang w:val="fr-FR"/>
              </w:rPr>
              <w:t>6 stemmen</w:t>
            </w:r>
          </w:p>
          <w:p>
            <w:pPr>
              <w:pStyle w:val="T4dispositie"/>
              <w:rPr>
                <w:lang w:val="fr-FR"/>
              </w:rPr>
            </w:pPr>
            <w:r>
              <w:rPr>
                <w:lang w:val="fr-FR"/>
              </w:rPr>
            </w:r>
          </w:p>
          <w:p>
            <w:pPr>
              <w:pStyle w:val="T4dispositie"/>
              <w:rPr>
                <w:lang w:val="fr-FR"/>
              </w:rPr>
            </w:pPr>
            <w:r>
              <w:rPr>
                <w:lang w:val="fr-FR"/>
              </w:rPr>
              <w:t>Holpijp</w:t>
            </w:r>
          </w:p>
          <w:p>
            <w:pPr>
              <w:pStyle w:val="T4dispositie"/>
              <w:rPr>
                <w:lang w:val="fr-FR"/>
              </w:rPr>
            </w:pPr>
            <w:r>
              <w:rPr>
                <w:lang w:val="fr-FR"/>
              </w:rPr>
              <w:t>Salicional</w:t>
            </w:r>
          </w:p>
          <w:p>
            <w:pPr>
              <w:pStyle w:val="T4dispositie"/>
              <w:rPr>
                <w:lang w:val="fr-FR"/>
              </w:rPr>
            </w:pPr>
            <w:r>
              <w:rPr>
                <w:lang w:val="fr-FR"/>
              </w:rPr>
              <w:t>Flûte d’Amour</w:t>
            </w:r>
          </w:p>
          <w:p>
            <w:pPr>
              <w:pStyle w:val="T4dispositie"/>
              <w:rPr>
                <w:lang w:val="fr-FR"/>
              </w:rPr>
            </w:pPr>
            <w:r>
              <w:rPr>
                <w:lang w:val="fr-FR"/>
              </w:rPr>
              <w:t>Nasard</w:t>
            </w:r>
          </w:p>
          <w:p>
            <w:pPr>
              <w:pStyle w:val="T4dispositie"/>
              <w:rPr>
                <w:lang w:val="nl-NL"/>
              </w:rPr>
            </w:pPr>
            <w:r>
              <w:rPr>
                <w:lang w:val="nl-NL"/>
              </w:rPr>
              <w:t>Woudfluit</w:t>
            </w:r>
          </w:p>
          <w:p>
            <w:pPr>
              <w:pStyle w:val="T4dispositie"/>
              <w:rPr>
                <w:lang w:val="nl-NL"/>
              </w:rPr>
            </w:pPr>
            <w:r>
              <w:rPr>
                <w:lang w:val="nl-NL"/>
              </w:rPr>
              <w:t>Dulciaan</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8'</w:t>
            </w:r>
          </w:p>
        </w:tc>
        <w:tc>
          <w:tcPr>
            <w:tcW w:w="1080" w:type="dxa"/>
            <w:tcBorders/>
          </w:tcPr>
          <w:p>
            <w:pPr>
              <w:pStyle w:val="T4dispositie"/>
              <w:rPr>
                <w:i/>
                <w:i/>
                <w:lang w:val="nl-NL"/>
              </w:rPr>
            </w:pPr>
            <w:r>
              <w:rPr>
                <w:i/>
                <w:lang w:val="nl-NL"/>
              </w:rPr>
              <w:t>Pedaal</w:t>
            </w:r>
          </w:p>
          <w:p>
            <w:pPr>
              <w:pStyle w:val="T4dispositie"/>
              <w:rPr>
                <w:lang w:val="nl-NL"/>
              </w:rPr>
            </w:pPr>
            <w:r>
              <w:rPr>
                <w:lang w:val="nl-NL"/>
              </w:rPr>
              <w:t>2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Gedekt</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 (tr)</w:t>
            </w:r>
          </w:p>
        </w:tc>
      </w:tr>
    </w:tbl>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Werktuiglijke registers</w:t>
      </w:r>
    </w:p>
    <w:p>
      <w:pPr>
        <w:pStyle w:val="Normal"/>
        <w:rPr>
          <w:rFonts w:ascii="Times New Roman" w:hAnsi="Times New Roman" w:cs="Times New Roman"/>
          <w:szCs w:val="24"/>
        </w:rPr>
      </w:pPr>
      <w:r>
        <w:rPr>
          <w:rFonts w:cs="Times New Roman" w:ascii="Times New Roman" w:hAnsi="Times New Roman"/>
          <w:szCs w:val="24"/>
        </w:rPr>
        <w:t>manuaalkoppel, pedaalkoppel</w:t>
      </w:r>
    </w:p>
    <w:p>
      <w:pPr>
        <w:pStyle w:val="Normal"/>
        <w:rPr>
          <w:rFonts w:ascii="Times New Roman" w:hAnsi="Times New Roman" w:cs="Times New Roman"/>
          <w:szCs w:val="24"/>
        </w:rPr>
      </w:pPr>
      <w:r>
        <w:rPr>
          <w:rFonts w:cs="Times New Roman" w:ascii="Times New Roman" w:hAnsi="Times New Roman"/>
          <w:szCs w:val="24"/>
        </w:rPr>
        <w:t>tremulant DW</w:t>
      </w:r>
    </w:p>
    <w:p>
      <w:pPr>
        <w:pStyle w:val="Normal"/>
        <w:rPr>
          <w:rFonts w:ascii="Times New Roman" w:hAnsi="Times New Roman" w:cs="Times New Roman"/>
          <w:szCs w:val="24"/>
        </w:rPr>
      </w:pPr>
      <w:r>
        <w:rPr>
          <w:rFonts w:cs="Times New Roman" w:ascii="Times New Roman" w:hAnsi="Times New Roman"/>
          <w:szCs w:val="24"/>
        </w:rPr>
        <w:t>calcant (motorschakelaar)</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Samenstelling vulstemmen</w:t>
      </w:r>
    </w:p>
    <w:tbl>
      <w:tblPr>
        <w:tblW w:w="3491" w:type="dxa"/>
        <w:jc w:val="start"/>
        <w:tblInd w:w="-108" w:type="dxa"/>
        <w:tblLayout w:type="fixed"/>
        <w:tblCellMar>
          <w:top w:w="0" w:type="dxa"/>
          <w:start w:w="108" w:type="dxa"/>
          <w:bottom w:w="0" w:type="dxa"/>
          <w:end w:w="108" w:type="dxa"/>
        </w:tblCellMar>
      </w:tblPr>
      <w:tblGrid>
        <w:gridCol w:w="1003"/>
        <w:gridCol w:w="622"/>
        <w:gridCol w:w="622"/>
        <w:gridCol w:w="622"/>
        <w:gridCol w:w="622"/>
      </w:tblGrid>
      <w:tr>
        <w:trPr/>
        <w:tc>
          <w:tcPr>
            <w:tcW w:w="1003" w:type="dxa"/>
            <w:tcBorders/>
          </w:tcPr>
          <w:p>
            <w:pPr>
              <w:pStyle w:val="Normal"/>
              <w:rPr>
                <w:rFonts w:ascii="Times New Roman" w:hAnsi="Times New Roman" w:cs="Times New Roman"/>
                <w:szCs w:val="24"/>
              </w:rPr>
            </w:pPr>
            <w:r>
              <w:rPr>
                <w:rFonts w:cs="Times New Roman" w:ascii="Times New Roman" w:hAnsi="Times New Roman"/>
                <w:szCs w:val="24"/>
              </w:rPr>
              <w:t>Mixtuur</w:t>
            </w:r>
          </w:p>
        </w:tc>
        <w:tc>
          <w:tcPr>
            <w:tcW w:w="622" w:type="dxa"/>
            <w:tcBorders/>
          </w:tcPr>
          <w:p>
            <w:pPr>
              <w:pStyle w:val="Normal"/>
              <w:rPr>
                <w:rFonts w:ascii="Times New Roman" w:hAnsi="Times New Roman" w:cs="Times New Roman"/>
                <w:sz w:val="20"/>
              </w:rPr>
            </w:pPr>
            <w:r>
              <w:rPr>
                <w:rFonts w:cs="Times New Roman" w:ascii="Times New Roman" w:hAnsi="Times New Roman"/>
                <w:sz w:val="20"/>
              </w:rPr>
              <w:t>C</w:t>
            </w:r>
          </w:p>
          <w:p>
            <w:pPr>
              <w:pStyle w:val="Normal"/>
              <w:rPr>
                <w:rFonts w:ascii="Times New Roman" w:hAnsi="Times New Roman" w:cs="Times New Roman"/>
                <w:sz w:val="20"/>
              </w:rPr>
            </w:pPr>
            <w:r>
              <w:rPr>
                <w:rFonts w:cs="Times New Roman" w:ascii="Times New Roman" w:hAnsi="Times New Roman"/>
                <w:sz w:val="20"/>
              </w:rPr>
              <w:t>2</w:t>
            </w:r>
          </w:p>
          <w:p>
            <w:pPr>
              <w:pStyle w:val="Normal"/>
              <w:rPr>
                <w:rFonts w:ascii="Times New Roman" w:hAnsi="Times New Roman" w:cs="Times New Roman"/>
                <w:sz w:val="20"/>
              </w:rPr>
            </w:pPr>
            <w:r>
              <w:rPr>
                <w:rFonts w:cs="Times New Roman" w:ascii="Times New Roman" w:hAnsi="Times New Roman"/>
                <w:sz w:val="20"/>
              </w:rPr>
              <w:t>1 1/3</w:t>
            </w:r>
          </w:p>
          <w:p>
            <w:pPr>
              <w:pStyle w:val="Normal"/>
              <w:rPr>
                <w:rFonts w:ascii="Times New Roman" w:hAnsi="Times New Roman" w:cs="Times New Roman"/>
                <w:sz w:val="20"/>
              </w:rPr>
            </w:pPr>
            <w:r>
              <w:rPr>
                <w:rFonts w:cs="Times New Roman" w:ascii="Times New Roman" w:hAnsi="Times New Roman"/>
                <w:sz w:val="20"/>
              </w:rPr>
              <w:t>1</w:t>
            </w:r>
          </w:p>
        </w:tc>
        <w:tc>
          <w:tcPr>
            <w:tcW w:w="622" w:type="dxa"/>
            <w:tcBorders/>
          </w:tcPr>
          <w:p>
            <w:pPr>
              <w:pStyle w:val="Normal"/>
              <w:rPr>
                <w:rFonts w:ascii="Times New Roman" w:hAnsi="Times New Roman" w:cs="Times New Roman"/>
                <w:sz w:val="20"/>
              </w:rPr>
            </w:pPr>
            <w:r>
              <w:rPr>
                <w:rFonts w:cs="Times New Roman" w:ascii="Times New Roman" w:hAnsi="Times New Roman"/>
                <w:sz w:val="20"/>
              </w:rPr>
              <w:t>c</w:t>
            </w:r>
          </w:p>
          <w:p>
            <w:pPr>
              <w:pStyle w:val="Normal"/>
              <w:rPr>
                <w:rFonts w:ascii="Times New Roman" w:hAnsi="Times New Roman" w:cs="Times New Roman"/>
                <w:sz w:val="20"/>
              </w:rPr>
            </w:pPr>
            <w:r>
              <w:rPr>
                <w:rFonts w:cs="Times New Roman" w:ascii="Times New Roman" w:hAnsi="Times New Roman"/>
                <w:sz w:val="20"/>
              </w:rPr>
              <w:t>2 2/3</w:t>
            </w:r>
          </w:p>
          <w:p>
            <w:pPr>
              <w:pStyle w:val="Normal"/>
              <w:rPr>
                <w:rFonts w:ascii="Times New Roman" w:hAnsi="Times New Roman" w:cs="Times New Roman"/>
                <w:sz w:val="20"/>
                <w:lang w:val="en-GB"/>
              </w:rPr>
            </w:pPr>
            <w:r>
              <w:rPr>
                <w:rFonts w:cs="Times New Roman" w:ascii="Times New Roman" w:hAnsi="Times New Roman"/>
                <w:sz w:val="20"/>
                <w:lang w:val="en-GB"/>
              </w:rPr>
              <w:t>2</w:t>
            </w:r>
          </w:p>
          <w:p>
            <w:pPr>
              <w:pStyle w:val="Normal"/>
              <w:rPr>
                <w:rFonts w:ascii="Times New Roman" w:hAnsi="Times New Roman" w:cs="Times New Roman"/>
                <w:sz w:val="20"/>
                <w:lang w:val="en-GB"/>
              </w:rPr>
            </w:pPr>
            <w:r>
              <w:rPr>
                <w:rFonts w:cs="Times New Roman" w:ascii="Times New Roman" w:hAnsi="Times New Roman"/>
                <w:sz w:val="20"/>
                <w:lang w:val="en-GB"/>
              </w:rPr>
              <w:t>1 1/3</w:t>
            </w:r>
          </w:p>
        </w:tc>
        <w:tc>
          <w:tcPr>
            <w:tcW w:w="622" w:type="dxa"/>
            <w:tcBorders/>
          </w:tcPr>
          <w:p>
            <w:pPr>
              <w:pStyle w:val="Normal"/>
              <w:rPr/>
            </w:pPr>
            <w:r>
              <w:rPr>
                <w:rFonts w:cs="Times New Roman" w:ascii="Times New Roman" w:hAnsi="Times New Roman"/>
                <w:sz w:val="20"/>
                <w:lang w:val="en-GB"/>
              </w:rPr>
              <w:t>c</w:t>
            </w:r>
            <w:r>
              <w:rPr>
                <w:rFonts w:cs="Times New Roman" w:ascii="Times New Roman" w:hAnsi="Times New Roman"/>
                <w:sz w:val="20"/>
                <w:vertAlign w:val="superscript"/>
                <w:lang w:val="en-GB"/>
              </w:rPr>
              <w:t>1</w:t>
            </w:r>
          </w:p>
          <w:p>
            <w:pPr>
              <w:pStyle w:val="Normal"/>
              <w:rPr>
                <w:rFonts w:ascii="Times New Roman" w:hAnsi="Times New Roman" w:cs="Times New Roman"/>
                <w:sz w:val="20"/>
                <w:lang w:val="en-GB"/>
              </w:rPr>
            </w:pPr>
            <w:r>
              <w:rPr>
                <w:rFonts w:cs="Times New Roman" w:ascii="Times New Roman" w:hAnsi="Times New Roman"/>
                <w:sz w:val="20"/>
                <w:lang w:val="en-GB"/>
              </w:rPr>
              <w:t>4</w:t>
            </w:r>
          </w:p>
          <w:p>
            <w:pPr>
              <w:pStyle w:val="Normal"/>
              <w:rPr>
                <w:rFonts w:ascii="Times New Roman" w:hAnsi="Times New Roman" w:cs="Times New Roman"/>
                <w:sz w:val="20"/>
                <w:lang w:val="en-GB"/>
              </w:rPr>
            </w:pPr>
            <w:r>
              <w:rPr>
                <w:rFonts w:cs="Times New Roman" w:ascii="Times New Roman" w:hAnsi="Times New Roman"/>
                <w:sz w:val="20"/>
                <w:lang w:val="en-GB"/>
              </w:rPr>
              <w:t>2 2/3</w:t>
            </w:r>
          </w:p>
          <w:p>
            <w:pPr>
              <w:pStyle w:val="Normal"/>
              <w:rPr>
                <w:rFonts w:ascii="Times New Roman" w:hAnsi="Times New Roman" w:cs="Times New Roman"/>
                <w:sz w:val="20"/>
                <w:lang w:val="en-GB"/>
              </w:rPr>
            </w:pPr>
            <w:r>
              <w:rPr>
                <w:rFonts w:cs="Times New Roman" w:ascii="Times New Roman" w:hAnsi="Times New Roman"/>
                <w:sz w:val="20"/>
                <w:lang w:val="en-GB"/>
              </w:rPr>
              <w:t>2</w:t>
            </w:r>
          </w:p>
        </w:tc>
        <w:tc>
          <w:tcPr>
            <w:tcW w:w="622" w:type="dxa"/>
            <w:tcBorders/>
          </w:tcPr>
          <w:p>
            <w:pPr>
              <w:pStyle w:val="Normal"/>
              <w:rPr/>
            </w:pPr>
            <w:r>
              <w:rPr>
                <w:rFonts w:cs="Times New Roman" w:ascii="Times New Roman" w:hAnsi="Times New Roman"/>
                <w:sz w:val="20"/>
                <w:lang w:val="en-GB"/>
              </w:rPr>
              <w:t>c</w:t>
            </w:r>
            <w:r>
              <w:rPr>
                <w:rFonts w:cs="Times New Roman" w:ascii="Times New Roman" w:hAnsi="Times New Roman"/>
                <w:sz w:val="20"/>
                <w:vertAlign w:val="superscript"/>
                <w:lang w:val="en-GB"/>
              </w:rPr>
              <w:t>2</w:t>
            </w:r>
          </w:p>
          <w:p>
            <w:pPr>
              <w:pStyle w:val="Normal"/>
              <w:rPr>
                <w:rFonts w:ascii="Times New Roman" w:hAnsi="Times New Roman" w:cs="Times New Roman"/>
                <w:sz w:val="20"/>
                <w:lang w:val="en-GB"/>
              </w:rPr>
            </w:pPr>
            <w:r>
              <w:rPr>
                <w:rFonts w:cs="Times New Roman" w:ascii="Times New Roman" w:hAnsi="Times New Roman"/>
                <w:sz w:val="20"/>
                <w:lang w:val="en-GB"/>
              </w:rPr>
              <w:t>5 1/3</w:t>
            </w:r>
          </w:p>
          <w:p>
            <w:pPr>
              <w:pStyle w:val="Normal"/>
              <w:rPr>
                <w:rFonts w:ascii="Times New Roman" w:hAnsi="Times New Roman" w:cs="Times New Roman"/>
                <w:sz w:val="20"/>
                <w:lang w:val="en-GB"/>
              </w:rPr>
            </w:pPr>
            <w:r>
              <w:rPr>
                <w:rFonts w:cs="Times New Roman" w:ascii="Times New Roman" w:hAnsi="Times New Roman"/>
                <w:sz w:val="20"/>
                <w:lang w:val="en-GB"/>
              </w:rPr>
              <w:t>4</w:t>
            </w:r>
          </w:p>
          <w:p>
            <w:pPr>
              <w:pStyle w:val="Normal"/>
              <w:rPr>
                <w:rFonts w:ascii="Times New Roman" w:hAnsi="Times New Roman" w:cs="Times New Roman"/>
                <w:sz w:val="20"/>
                <w:lang w:val="en-GB"/>
              </w:rPr>
            </w:pPr>
            <w:r>
              <w:rPr>
                <w:rFonts w:cs="Times New Roman" w:ascii="Times New Roman" w:hAnsi="Times New Roman"/>
                <w:sz w:val="20"/>
                <w:lang w:val="en-GB"/>
              </w:rPr>
              <w:t>2 2/3</w:t>
            </w:r>
          </w:p>
          <w:p>
            <w:pPr>
              <w:pStyle w:val="Normal"/>
              <w:rPr>
                <w:rFonts w:ascii="Times New Roman" w:hAnsi="Times New Roman" w:cs="Times New Roman"/>
                <w:sz w:val="20"/>
                <w:lang w:val="en-GB"/>
              </w:rPr>
            </w:pPr>
            <w:r>
              <w:rPr>
                <w:rFonts w:cs="Times New Roman" w:ascii="Times New Roman" w:hAnsi="Times New Roman"/>
                <w:sz w:val="20"/>
                <w:lang w:val="en-GB"/>
              </w:rPr>
              <w:t>2</w:t>
            </w:r>
          </w:p>
        </w:tc>
      </w:tr>
    </w:tbl>
    <w:p>
      <w:pPr>
        <w:pStyle w:val="Normal"/>
        <w:rPr>
          <w:rFonts w:ascii="Times New Roman" w:hAnsi="Times New Roman" w:cs="Times New Roman"/>
          <w:szCs w:val="24"/>
          <w:lang w:val="en-GB"/>
        </w:rPr>
      </w:pPr>
      <w:r>
        <w:rPr>
          <w:rFonts w:cs="Times New Roman" w:ascii="Times New Roman" w:hAnsi="Times New Roman"/>
          <w:szCs w:val="24"/>
          <w:lang w:val="en-GB"/>
        </w:rPr>
      </w:r>
    </w:p>
    <w:p>
      <w:pPr>
        <w:pStyle w:val="Normal"/>
        <w:rPr>
          <w:rFonts w:ascii="Times New Roman" w:hAnsi="Times New Roman" w:cs="Times New Roman"/>
          <w:szCs w:val="24"/>
          <w:lang w:val="en-GB"/>
        </w:rPr>
      </w:pPr>
      <w:r>
        <w:rPr>
          <w:rFonts w:cs="Times New Roman" w:ascii="Times New Roman" w:hAnsi="Times New Roman"/>
          <w:szCs w:val="24"/>
          <w:lang w:val="en-GB"/>
        </w:rPr>
        <w:t xml:space="preserve">Cornet   </w:t>
      </w:r>
      <w:r>
        <w:rPr>
          <w:rFonts w:cs="Times New Roman" w:ascii="Times New Roman" w:hAnsi="Times New Roman"/>
          <w:sz w:val="20"/>
          <w:lang w:val="en-GB"/>
        </w:rPr>
        <w:t>c</w:t>
      </w:r>
      <w:r>
        <w:rPr>
          <w:rFonts w:cs="Times New Roman" w:ascii="Times New Roman" w:hAnsi="Times New Roman"/>
          <w:sz w:val="20"/>
          <w:vertAlign w:val="superscript"/>
          <w:lang w:val="en-GB"/>
        </w:rPr>
        <w:t>1</w:t>
      </w:r>
      <w:r>
        <w:rPr>
          <w:rFonts w:cs="Times New Roman" w:ascii="Times New Roman" w:hAnsi="Times New Roman"/>
          <w:sz w:val="20"/>
          <w:lang w:val="en-GB"/>
        </w:rPr>
        <w:t xml:space="preserve">   4 - 2 2/3 - 1 3/5</w:t>
      </w:r>
    </w:p>
    <w:p>
      <w:pPr>
        <w:pStyle w:val="Normal"/>
        <w:rPr>
          <w:rFonts w:ascii="Times New Roman" w:hAnsi="Times New Roman" w:cs="Times New Roman"/>
          <w:szCs w:val="24"/>
          <w:lang w:val="en-GB"/>
        </w:rPr>
      </w:pPr>
      <w:r>
        <w:rPr>
          <w:rFonts w:cs="Times New Roman" w:ascii="Times New Roman" w:hAnsi="Times New Roman"/>
          <w:szCs w:val="24"/>
          <w:lang w:val="en-GB"/>
        </w:rPr>
      </w:r>
    </w:p>
    <w:p>
      <w:pPr>
        <w:pStyle w:val="Normal"/>
        <w:rPr>
          <w:rFonts w:ascii="Times New Roman" w:hAnsi="Times New Roman" w:cs="Times New Roman"/>
          <w:szCs w:val="24"/>
        </w:rPr>
      </w:pPr>
      <w:r>
        <w:rPr>
          <w:rFonts w:cs="Times New Roman" w:ascii="Times New Roman" w:hAnsi="Times New Roman"/>
          <w:szCs w:val="24"/>
        </w:rPr>
        <w:t>Toonhoogte</w:t>
      </w:r>
    </w:p>
    <w:p>
      <w:pPr>
        <w:pStyle w:val="Normal"/>
        <w:rPr/>
      </w:pPr>
      <w:r>
        <w:rPr>
          <w:rFonts w:cs="Times New Roman" w:ascii="Times New Roman" w:hAnsi="Times New Roman"/>
          <w:szCs w:val="24"/>
        </w:rPr>
        <w:t>a</w:t>
      </w:r>
      <w:r>
        <w:rPr>
          <w:rFonts w:cs="Times New Roman" w:ascii="Times New Roman" w:hAnsi="Times New Roman"/>
          <w:szCs w:val="24"/>
          <w:vertAlign w:val="superscript"/>
        </w:rPr>
        <w:t>1</w:t>
      </w:r>
      <w:r>
        <w:rPr>
          <w:rFonts w:cs="Times New Roman" w:ascii="Times New Roman" w:hAnsi="Times New Roman"/>
          <w:szCs w:val="24"/>
        </w:rPr>
        <w:t xml:space="preserve"> = 438 Hz</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C-g</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pPr>
      <w:r>
        <w:rPr>
          <w:rFonts w:cs="Times New Roman" w:ascii="Times New Roman" w:hAnsi="Times New Roman"/>
          <w:szCs w:val="24"/>
        </w:rPr>
        <w:t>C-d</w:t>
      </w:r>
      <w:r>
        <w:rPr>
          <w:rFonts w:cs="Times New Roman" w:ascii="Times New Roman" w:hAnsi="Times New Roman"/>
          <w:szCs w:val="24"/>
          <w:vertAlign w:val="superscript"/>
        </w:rPr>
        <w:t>1</w:t>
      </w:r>
    </w:p>
    <w:p>
      <w:pPr>
        <w:pStyle w:val="Normal"/>
        <w:rPr>
          <w:rFonts w:ascii="Times New Roman" w:hAnsi="Times New Roman" w:cs="Times New Roman"/>
          <w:szCs w:val="24"/>
          <w:vertAlign w:val="superscript"/>
        </w:rPr>
      </w:pPr>
      <w:r>
        <w:rPr>
          <w:rFonts w:cs="Times New Roman" w:ascii="Times New Roman" w:hAnsi="Times New Roman"/>
          <w:szCs w:val="24"/>
          <w:vertAlign w:val="superscript"/>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T1"/>
        <w:jc w:val="start"/>
        <w:rPr>
          <w:lang w:val="nl-NL"/>
        </w:rPr>
      </w:pPr>
      <w:r>
        <w:rPr>
          <w:lang w:val="nl-NL"/>
        </w:rPr>
        <w:t>magazijnbalg met enkele vouw</w:t>
      </w:r>
    </w:p>
    <w:p>
      <w:pPr>
        <w:pStyle w:val="T1"/>
        <w:jc w:val="start"/>
        <w:rPr>
          <w:lang w:val="nl-NL"/>
        </w:rPr>
      </w:pPr>
      <w:r>
        <w:rPr>
          <w:lang w:val="nl-NL"/>
        </w:rPr>
        <w:t>Winddruk</w:t>
      </w:r>
    </w:p>
    <w:p>
      <w:pPr>
        <w:pStyle w:val="T1"/>
        <w:jc w:val="start"/>
        <w:rPr>
          <w:lang w:val="nl-NL"/>
        </w:rPr>
      </w:pPr>
      <w:r>
        <w:rPr>
          <w:lang w:val="nl-NL"/>
        </w:rPr>
        <w:t>74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Het windtoestel bevindt zich in de onderkas. De kanalen zijn van eiken, gedeeltelijk oud; de conducten zijn van westaflex. De lade van het HW wordt gevoed door twee windkanalen die op de buitenste voorslagen zijn aangesloten.</w:t>
      </w:r>
    </w:p>
    <w:p>
      <w:pPr>
        <w:pStyle w:val="T1"/>
        <w:jc w:val="start"/>
        <w:rPr>
          <w:lang w:val="nl-NL"/>
        </w:rPr>
      </w:pPr>
      <w:r>
        <w:rPr>
          <w:lang w:val="nl-NL"/>
        </w:rPr>
        <w:t>De handklavieren zijn eiken staartklavieren; de ondertoetsen zijn belegd met been dat in twee delen per toets is opgelijmd; de boventoetsen zijn van ebben. Het pedaalklavier is eveneens van eiken. De registerknoppen van het HW en de calcant zijn boven de lessenaar geplaatst. Rechts van de lessenaar bevinden zich de knoppen voor de Nasard, de Dulciaan, de tremulant en de beide koppelingen; de overige knoppen zijn links van de lessenaar geplaatst.</w:t>
      </w:r>
    </w:p>
    <w:p>
      <w:pPr>
        <w:pStyle w:val="T1"/>
        <w:jc w:val="start"/>
        <w:rPr/>
      </w:pPr>
      <w:r>
        <w:rPr>
          <w:lang w:val="nl-NL"/>
        </w:rPr>
        <w:t>Het cancellenraam en de ventielkast van de windladen zijn van eiken, de stokken zijn - voor zover origineel - van mahonie. De lade van het HW is ingedeeld in hele tonen vanuit het midden naar weerszijden aflopend. De cancelvolgorde van het BW is C-a aan weerszijden in hele tonen naar het midden toe aflopend; daar tussen in b-g</w:t>
      </w:r>
      <w:r>
        <w:rPr>
          <w:vertAlign w:val="superscript"/>
          <w:lang w:val="nl-NL"/>
        </w:rPr>
        <w:t>3</w:t>
      </w:r>
      <w:r>
        <w:rPr>
          <w:lang w:val="nl-NL"/>
        </w:rPr>
        <w:t xml:space="preserve"> (chromatisch) met de grootste pijp aan de frontzijde. De lade voor het Ped staat haaks op het front tegen de linker zijwand van de kas.</w:t>
      </w:r>
    </w:p>
    <w:p>
      <w:pPr>
        <w:pStyle w:val="T1"/>
        <w:jc w:val="start"/>
        <w:rPr/>
      </w:pPr>
      <w:r>
        <w:rPr>
          <w:lang w:val="nl-NL"/>
        </w:rPr>
        <w:t>De Prestant 8' heeft grenen binnenpijpen voor de tonen C en Cis, D-cis en e-h staan in het front (tin); de overige pijpen staan op de lade. Op de plaats van de oorspronkelijke Bourdon 16' staat thans de Mixtuur uit 1977. Dit register is grotendeels voorzien van stemkrullen. De Gamba is de oorspronkelijke Violoncel 8'; het register is van C-H gecombineerd met de Holpijp 8' en verder van tin. Het register is grotendeels voorzien van zijbaarden en freins; de hoogste acht pijpen hebben alleen zijbaarden. C-H van de Holpijp 8' zijn van hout (gedekt), het vervolg is van metaal, vanaf c</w:t>
      </w:r>
      <w:r>
        <w:rPr>
          <w:szCs w:val="24"/>
          <w:vertAlign w:val="superscript"/>
          <w:lang w:val="nl-NL"/>
        </w:rPr>
        <w:t>1</w:t>
      </w:r>
      <w:r>
        <w:rPr>
          <w:lang w:val="nl-NL"/>
        </w:rPr>
        <w:t xml:space="preserve"> is het pijpwerk voorzien van roeren; vermoedelijk is dit pijpwerk afkomstig uit de oorspronkelijke Roerfluit 4'. De huidige Fluit 4' is van C-gis</w:t>
      </w:r>
      <w:r>
        <w:rPr>
          <w:szCs w:val="24"/>
          <w:vertAlign w:val="superscript"/>
          <w:lang w:val="nl-NL"/>
        </w:rPr>
        <w:t>2</w:t>
      </w:r>
      <w:r>
        <w:rPr>
          <w:lang w:val="nl-NL"/>
        </w:rPr>
        <w:t xml:space="preserve"> gedekt, het vervolg is open, licht conisch; het gedekte pijpwerk is - blijkens oude inscripties - afkomstig uit de Holpijp 8'. De in 1977 geplaatste Trompet 8' is geheel van metaal; de bekers zijn van spotted metal en hebben vanaf gis</w:t>
      </w:r>
      <w:r>
        <w:rPr>
          <w:szCs w:val="24"/>
          <w:vertAlign w:val="superscript"/>
          <w:lang w:val="nl-NL"/>
        </w:rPr>
        <w:t>2</w:t>
      </w:r>
      <w:r>
        <w:rPr>
          <w:lang w:val="nl-NL"/>
        </w:rPr>
        <w:t xml:space="preserve"> dubbele lengte.</w:t>
      </w:r>
    </w:p>
    <w:p>
      <w:pPr>
        <w:pStyle w:val="T1"/>
        <w:jc w:val="start"/>
        <w:rPr/>
      </w:pPr>
      <w:r>
        <w:rPr>
          <w:lang w:val="nl-NL"/>
        </w:rPr>
        <w:t>De Salicionaal 8' van het DW is van C-H gecombineerd met de Holpijp, het vervolg is van metaal met zijbaarden. De conische Nasard 3' dateert uit 1977 en is van C-f</w:t>
      </w:r>
      <w:r>
        <w:rPr>
          <w:szCs w:val="24"/>
          <w:vertAlign w:val="superscript"/>
          <w:lang w:val="nl-NL"/>
        </w:rPr>
        <w:t>2</w:t>
      </w:r>
      <w:r>
        <w:rPr>
          <w:lang w:val="nl-NL"/>
        </w:rPr>
        <w:t xml:space="preserve"> voorzien van stemkrullen. C-H van de Holpijp 8' zijn van hout (gedekt), het vervolg is van metaal (gedekt). De Flûte d’Amour 4' is geheel van metaal; C-fis gedekt, het vervolg open. Van de conische Woudfluit 2' zijn C-g voorzien van stemkrullen, het vervolg is op lengte afgesneden. De Dulciaan 8' dateert uit 1977 en is geheel van metaal met cilindrische bekers. </w:t>
      </w:r>
    </w:p>
    <w:p>
      <w:pPr>
        <w:pStyle w:val="T1"/>
        <w:jc w:val="start"/>
        <w:rPr/>
      </w:pPr>
      <w:r>
        <w:rPr>
          <w:lang w:val="nl-NL"/>
        </w:rPr>
        <w:t>De Bourdon 16' / Gedekt 8' van het Ped bevat pijpwerk van de oorspronkelijke Bourdon 16' van het HW. C-h zijn van grenen (gedekt), het vervolg is van metaal (gedekt). Van het oorspronkelijke pijpwerk resteren dus C-d</w:t>
      </w:r>
      <w:r>
        <w:rPr>
          <w:szCs w:val="24"/>
          <w:vertAlign w:val="superscript"/>
          <w:lang w:val="nl-NL"/>
        </w:rPr>
        <w:t>2</w:t>
      </w:r>
      <w:r>
        <w:rPr>
          <w:lang w:val="nl-NL"/>
        </w:rPr>
        <w:t>.</w:t>
      </w:r>
    </w:p>
    <w:p>
      <w:pPr>
        <w:pStyle w:val="T1"/>
        <w:jc w:val="start"/>
        <w:rPr/>
      </w:pPr>
      <w:r>
        <w:rPr>
          <w:lang w:val="nl-NL"/>
        </w:rPr>
        <w:t>Expressions zijn toegepast bij alle binnenpijpen van Prestant 8', Gamba 8' en Salicionaal 8' en verder bij de Octaaf 4' (C-h), de Octaaf 2' (C-H), een deel van de Cornet en g-f</w:t>
      </w:r>
      <w:r>
        <w:rPr>
          <w:szCs w:val="24"/>
          <w:vertAlign w:val="superscript"/>
          <w:lang w:val="nl-NL"/>
        </w:rPr>
        <w:t>2</w:t>
      </w:r>
      <w:r>
        <w:rPr>
          <w:lang w:val="nl-NL"/>
        </w:rPr>
        <w:t xml:space="preserve"> van de Flûte d’Amour 4'.</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Times New Roman" w:hAnsi="Times New Roman" w:cs="Times New Roman"/>
      <w:b w:val="false"/>
      <w:i w:val="false"/>
      <w:sz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143</TotalTime>
  <Application>LibreOffice/7.2.1.2$MacOSX_X86_64 LibreOffice_project/87b77fad49947c1441b67c559c339af8f3517e22</Application>
  <AppVersion>15.0000</AppVersion>
  <Pages>4</Pages>
  <Words>884</Words>
  <Characters>4400</Characters>
  <CharactersWithSpaces>5140</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2008-03-06T18:28:00Z</dcterms:created>
  <dc:creator>WS1</dc:creator>
  <dc:description/>
  <dc:language>en-US</dc:language>
  <cp:lastModifiedBy>NIvO</cp:lastModifiedBy>
  <dcterms:modified xsi:type="dcterms:W3CDTF">2009-09-29T11:54:00Z</dcterms:modified>
  <cp:revision>15</cp:revision>
  <dc:subject/>
  <dc:title>Olst / 1880</dc:title>
</cp:coreProperties>
</file>