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Oosterwierum (Easterwierrum) / 1903</w:t>
      </w:r>
    </w:p>
    <w:p>
      <w:pPr>
        <w:pStyle w:val="Heading2"/>
        <w:ind w:start="0" w:end="0" w:hanging="0"/>
        <w:rPr>
          <w:i w:val="false"/>
          <w:i w:val="false"/>
          <w:iCs/>
        </w:rPr>
      </w:pPr>
      <w:r>
        <w:rPr>
          <w:i w:val="false"/>
          <w:iCs/>
        </w:rPr>
        <w:t>R.K. St-Wirokerk</w:t>
      </w:r>
    </w:p>
    <w:p>
      <w:pPr>
        <w:pStyle w:val="T1"/>
        <w:jc w:val="start"/>
        <w:rPr>
          <w:i/>
          <w:i/>
          <w:iCs/>
          <w:lang w:val="nl-NL"/>
        </w:rPr>
      </w:pPr>
      <w:r>
        <w:rPr>
          <w:i/>
          <w:iCs/>
          <w:lang w:val="nl-NL"/>
        </w:rPr>
      </w:r>
    </w:p>
    <w:p>
      <w:pPr>
        <w:pStyle w:val="T1"/>
        <w:jc w:val="start"/>
        <w:rPr>
          <w:lang w:val="nl-NL"/>
        </w:rPr>
      </w:pPr>
      <w:r>
        <w:rPr>
          <w:lang w:val="nl-NL"/>
        </w:rPr>
        <w:t>Kas: 1903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 xml:space="preserve">Een driedelig neogotisch front. Een breed pijpveld in het midden wordt geflankeerd door twee pijploze kasdelen. Het pijpveld staat op een verhoogde pijpstok die is gedecoreerd door een opengewerkt spitsboogfries. Dit element wordt aan de bovenzijde van de kas herhaald, boven de wimberg, maar dan over de hele breedte van de kas, niet opengewerkt. De pijploze ‘velden’ zijn gedecoreerd met lang uitgerekte elementen uit eveneens een spitsboogfries. Het lijstwerk dat de kasdelen scheidt en aan weerszijden afsluit is met een zelfde element ingelegd en wordt bekroond door kantelen. Boven de wimberg, en iets lager bij de blinde velden is driemaal een gotische vierpas te zien. </w:t>
      </w:r>
    </w:p>
    <w:p>
      <w:pPr>
        <w:pStyle w:val="T2Kunst"/>
        <w:jc w:val="start"/>
        <w:rPr>
          <w:lang w:val="nl-NL"/>
        </w:rPr>
      </w:pPr>
      <w:r>
        <w:rPr>
          <w:lang w:val="nl-NL"/>
        </w:rPr>
      </w:r>
    </w:p>
    <w:p>
      <w:pPr>
        <w:pStyle w:val="T2Kunst"/>
        <w:jc w:val="start"/>
        <w:rPr/>
      </w:pPr>
      <w:r>
        <w:rPr>
          <w:lang w:val="nl-NL"/>
        </w:rPr>
        <w:t xml:space="preserve">In Leeuwarden stond het orgel tegen de (vanuit de kerk gezien) rechter wand [in de </w:t>
      </w:r>
      <w:r>
        <w:rPr>
          <w:rStyle w:val="Emphasis"/>
          <w:rFonts w:cs="Arial" w:ascii="Arial" w:hAnsi="Arial"/>
          <w:sz w:val="20"/>
          <w:lang w:val="nl-NL"/>
        </w:rPr>
        <w:t>huidige</w:t>
      </w:r>
      <w:r>
        <w:rPr>
          <w:lang w:val="nl-NL"/>
        </w:rPr>
        <w:t xml:space="preserve"> kerk is dat de </w:t>
      </w:r>
      <w:r>
        <w:rPr>
          <w:u w:val="single"/>
          <w:lang w:val="nl-NL"/>
        </w:rPr>
        <w:t>linkerwand</w:t>
      </w:r>
      <w:r>
        <w:rPr>
          <w:lang w:val="nl-NL"/>
        </w:rPr>
        <w:t xml:space="preserve">]. </w:t>
      </w:r>
      <w:r>
        <w:rPr/>
        <w:t xml:space="preserve">Aan de smalle zijde de kas aan de kant van de kerkruimte was een klein tinnen front, het klavier bevond zich aan de andere smalle zijde (dus verder van de kerkruimte af). </w:t>
      </w:r>
      <w:r>
        <w:rPr>
          <w:lang w:val="nl-NL"/>
        </w:rPr>
        <w:t xml:space="preserve">In de huidige opstelling (tegen de </w:t>
      </w:r>
      <w:r>
        <w:rPr>
          <w:u w:val="single"/>
          <w:lang w:val="nl-NL"/>
        </w:rPr>
        <w:t xml:space="preserve">linkerwand </w:t>
      </w:r>
      <w:r>
        <w:rPr>
          <w:lang w:val="nl-NL"/>
        </w:rPr>
        <w:t>van de torenruimte) is het orgel dus a.h.w. 180 graden gedraaid, waardoor het klavier zich nu aan de kerkzijde bevindt. Het frontje is uit de overliggende zijde verwijderd en boven het klavier geplaatst, zodat het vanuit de kerk ook te zien is.</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 Jongepier, </w:t>
      </w:r>
      <w:r>
        <w:rPr>
          <w:i/>
          <w:lang w:val="nl-NL"/>
        </w:rPr>
        <w:t>Vijf eeuwen Friese Orgelbouw.</w:t>
      </w:r>
      <w:r>
        <w:rPr>
          <w:lang w:val="nl-NL"/>
        </w:rPr>
        <w:t xml:space="preserve"> Leeuwarden, 2004, 124, 185.</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Adema-documentatie Ton van Eck &amp; Victor Timmer.</w:t>
      </w:r>
    </w:p>
    <w:p>
      <w:pPr>
        <w:pStyle w:val="T3Lit"/>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C.B. Adema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Leeuwarden, St-Fredericusgesticht</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zwelinrichting aangebracht</w:t>
      </w:r>
    </w:p>
    <w:p>
      <w:pPr>
        <w:pStyle w:val="T1"/>
        <w:jc w:val="start"/>
        <w:rPr>
          <w:lang w:val="nl-NL"/>
        </w:rPr>
      </w:pPr>
      <w:r>
        <w:rPr>
          <w:lang w:val="nl-NL"/>
        </w:rPr>
      </w:r>
    </w:p>
    <w:p>
      <w:pPr>
        <w:pStyle w:val="T1"/>
        <w:jc w:val="start"/>
        <w:rPr>
          <w:lang w:val="nl-NL"/>
        </w:rPr>
      </w:pPr>
      <w:r>
        <w:rPr>
          <w:lang w:val="nl-NL"/>
        </w:rPr>
        <w:t>Gebr. Adema 1937</w:t>
      </w:r>
    </w:p>
    <w:p>
      <w:pPr>
        <w:pStyle w:val="T1"/>
        <w:jc w:val="start"/>
        <w:rPr>
          <w:lang w:val="nl-NL"/>
        </w:rPr>
      </w:pPr>
      <w:r>
        <w:rPr>
          <w:lang w:val="nl-NL"/>
        </w:rPr>
        <w:t>.</w:t>
        <w:tab/>
        <w:t>orgel overgeplaatst naar kapel St-Jozefpension (Leeuwarden)</w:t>
      </w:r>
    </w:p>
    <w:p>
      <w:pPr>
        <w:pStyle w:val="T1"/>
        <w:jc w:val="start"/>
        <w:rPr>
          <w:lang w:val="nl-NL"/>
        </w:rPr>
      </w:pPr>
      <w:r>
        <w:rPr>
          <w:lang w:val="nl-NL"/>
        </w:rPr>
      </w:r>
    </w:p>
    <w:p>
      <w:pPr>
        <w:pStyle w:val="T1"/>
        <w:jc w:val="start"/>
        <w:rPr/>
      </w:pPr>
      <w:r>
        <w:rPr/>
        <w:t xml:space="preserve">Dispositie vóór 1979 </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 B/D</w:t>
            </w:r>
          </w:p>
          <w:p>
            <w:pPr>
              <w:pStyle w:val="T4dispositie"/>
              <w:rPr>
                <w:lang w:val="nl-NL"/>
              </w:rPr>
            </w:pPr>
            <w:r>
              <w:rPr>
                <w:lang w:val="nl-NL"/>
              </w:rPr>
              <w:t>Viola</w:t>
            </w:r>
          </w:p>
          <w:p>
            <w:pPr>
              <w:pStyle w:val="T4dispositie"/>
              <w:rPr>
                <w:lang w:val="nl-NL"/>
              </w:rPr>
            </w:pPr>
            <w:r>
              <w:rPr>
                <w:lang w:val="nl-NL"/>
              </w:rPr>
              <w:t>Celeste</w:t>
            </w:r>
          </w:p>
          <w:p>
            <w:pPr>
              <w:pStyle w:val="T4dispositie"/>
              <w:rPr>
                <w:lang w:val="nl-NL"/>
              </w:rPr>
            </w:pPr>
            <w:r>
              <w:rPr>
                <w:lang w:val="nl-NL"/>
              </w:rPr>
              <w:t>Prestant</w:t>
            </w:r>
          </w:p>
        </w:tc>
        <w:tc>
          <w:tcPr>
            <w:tcW w:w="76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deling B/D tussen f en fis; de Celeste begon op fis</w:t>
      </w:r>
    </w:p>
    <w:p>
      <w:pPr>
        <w:pStyle w:val="T1"/>
        <w:jc w:val="start"/>
        <w:rPr>
          <w:lang w:val="nl-NL"/>
        </w:rPr>
      </w:pPr>
      <w:r>
        <w:rPr>
          <w:lang w:val="nl-NL"/>
        </w:rPr>
      </w:r>
    </w:p>
    <w:p>
      <w:pPr>
        <w:pStyle w:val="T1"/>
        <w:jc w:val="start"/>
        <w:rPr>
          <w:lang w:val="nl-NL"/>
        </w:rPr>
      </w:pPr>
      <w:r>
        <w:rPr>
          <w:lang w:val="nl-NL"/>
        </w:rPr>
        <w:t>1979</w:t>
      </w:r>
    </w:p>
    <w:p>
      <w:pPr>
        <w:pStyle w:val="T1"/>
        <w:jc w:val="start"/>
        <w:rPr>
          <w:lang w:val="nl-NL"/>
        </w:rPr>
      </w:pPr>
      <w:r>
        <w:rPr>
          <w:lang w:val="nl-NL"/>
        </w:rPr>
        <w:t>.</w:t>
        <w:tab/>
        <w:t>kapel gesloten</w:t>
      </w:r>
    </w:p>
    <w:p>
      <w:pPr>
        <w:pStyle w:val="T1"/>
        <w:jc w:val="start"/>
        <w:rPr>
          <w:lang w:val="nl-NL"/>
        </w:rPr>
      </w:pPr>
      <w:r>
        <w:rPr>
          <w:lang w:val="nl-NL"/>
        </w:rPr>
      </w:r>
    </w:p>
    <w:p>
      <w:pPr>
        <w:pStyle w:val="T1"/>
        <w:jc w:val="start"/>
        <w:rPr>
          <w:lang w:val="nl-NL"/>
        </w:rPr>
      </w:pPr>
      <w:r>
        <w:rPr>
          <w:lang w:val="nl-NL"/>
        </w:rPr>
        <w:t>H. Dantuma 1981</w:t>
      </w:r>
    </w:p>
    <w:p>
      <w:pPr>
        <w:pStyle w:val="T1"/>
        <w:jc w:val="start"/>
        <w:rPr/>
      </w:pPr>
      <w:r>
        <w:rPr>
          <w:lang w:val="nl-NL"/>
        </w:rPr>
        <w:t>.</w:t>
        <w:tab/>
      </w:r>
      <w:r>
        <w:rPr>
          <w:szCs w:val="24"/>
          <w:lang w:val="nl-NL"/>
        </w:rPr>
        <w:t>orgel gewijzigd en overgeplaatst naar Oosterwierum, R.K. St-Wirokerk</w:t>
      </w:r>
    </w:p>
    <w:p>
      <w:pPr>
        <w:pStyle w:val="T1"/>
        <w:jc w:val="start"/>
        <w:rPr>
          <w:szCs w:val="24"/>
          <w:lang w:val="nl-NL"/>
        </w:rPr>
      </w:pPr>
      <w:r>
        <w:rPr>
          <w:szCs w:val="24"/>
          <w:lang w:val="nl-NL"/>
        </w:rPr>
        <w:t>.</w:t>
        <w:tab/>
        <w:t>zwelinrichting verwijderd</w:t>
      </w:r>
    </w:p>
    <w:p>
      <w:pPr>
        <w:pStyle w:val="T1"/>
        <w:jc w:val="start"/>
        <w:rPr>
          <w:szCs w:val="24"/>
          <w:lang w:val="nl-NL"/>
        </w:rPr>
      </w:pPr>
      <w:r>
        <w:rPr>
          <w:szCs w:val="24"/>
          <w:lang w:val="nl-NL"/>
        </w:rPr>
        <w:t>.</w:t>
        <w:tab/>
        <w:t>- Viola 8', - Celeste 8', + Quint 2 2/3' (vanaf fis), + Octaaf 2' (vanaf fis)</w:t>
      </w:r>
    </w:p>
    <w:p>
      <w:pPr>
        <w:pStyle w:val="T1"/>
        <w:jc w:val="start"/>
        <w:rPr>
          <w:szCs w:val="24"/>
          <w:lang w:val="nl-NL"/>
        </w:rPr>
      </w:pPr>
      <w:r>
        <w:rPr>
          <w:szCs w:val="24"/>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 B/D</w:t>
            </w:r>
          </w:p>
          <w:p>
            <w:pPr>
              <w:pStyle w:val="T4dispositie"/>
              <w:rPr>
                <w:lang w:val="nl-NL"/>
              </w:rPr>
            </w:pPr>
            <w:r>
              <w:rPr>
                <w:lang w:val="nl-NL"/>
              </w:rPr>
              <w:t>Prestant</w:t>
            </w:r>
          </w:p>
          <w:p>
            <w:pPr>
              <w:pStyle w:val="T4dispositie"/>
              <w:rPr>
                <w:lang w:val="nl-NL"/>
              </w:rPr>
            </w:pPr>
            <w:r>
              <w:rPr>
                <w:lang w:val="nl-NL"/>
              </w:rPr>
              <w:t>Quint*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4dispositie"/>
        <w:rPr/>
      </w:pPr>
      <w:r>
        <w:rPr/>
      </w:r>
    </w:p>
    <w:p>
      <w:pPr>
        <w:pStyle w:val="T4dispositie"/>
        <w:rPr>
          <w:lang w:val="nl-NL"/>
        </w:rPr>
      </w:pPr>
      <w:r>
        <w:rPr>
          <w:lang w:val="nl-NL"/>
        </w:rPr>
        <w:t>* op het registerplaatje staat nog Celeste 8</w:t>
      </w:r>
    </w:p>
    <w:p>
      <w:pPr>
        <w:pStyle w:val="T4dispositie"/>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(1903)</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f en fis.</w:t>
      </w:r>
    </w:p>
    <w:p>
      <w:pPr>
        <w:pStyle w:val="T1"/>
        <w:jc w:val="start"/>
        <w:rPr>
          <w:lang w:val="nl-NL"/>
        </w:rPr>
      </w:pPr>
      <w:r>
        <w:rPr>
          <w:lang w:val="nl-NL"/>
        </w:rPr>
        <w:t>De vurenhouten orgelkas is dwars geplaatst tegen de zijkant van de torenmuur. Aan de muurkant is de kas open, aan de andere lange zijde zijn twee deuren aangebracht; de achterwand en het dak zijn van plaatmateriaal. In Leeuwarden bevond de klaviatuur zich aan de achterkant,en was in het dak een primitieve zwelinrichting aangebracht. De kas is in een imitatie houtkleur geschilderd.</w:t>
      </w:r>
    </w:p>
    <w:p>
      <w:pPr>
        <w:pStyle w:val="T1"/>
        <w:jc w:val="start"/>
        <w:rPr>
          <w:lang w:val="nl-NL"/>
        </w:rPr>
      </w:pPr>
      <w:r>
        <w:rPr>
          <w:lang w:val="nl-NL"/>
        </w:rPr>
        <w:t>De magazijnbalg, met een in- en uitspringende vouw en twee schepbalgen, ligt in de onderkas. De hefboom van de handpomp is aan de binnenzijde van de klavierkant afgezaagd.</w:t>
      </w:r>
    </w:p>
    <w:p>
      <w:pPr>
        <w:pStyle w:val="T1"/>
        <w:jc w:val="start"/>
        <w:rPr>
          <w:lang w:val="nl-NL"/>
        </w:rPr>
      </w:pPr>
      <w:r>
        <w:rPr>
          <w:lang w:val="nl-NL"/>
        </w:rPr>
        <w:t>De registertrekkers, met vierkante eiken trekstokken, zijn boven de lessenaarbak geplaatst. Het klavierdeksel is nog aanwezig. Rechtsonder in knieschot nog de opening voor de niet meer aanwezige zweltrede. Tussen windlade en balg ligt een eiken walsraam, met grenen wellen en metalen armpjes.</w:t>
      </w:r>
    </w:p>
    <w:p>
      <w:pPr>
        <w:pStyle w:val="T1"/>
        <w:jc w:val="start"/>
        <w:rPr>
          <w:lang w:val="nl-NL"/>
        </w:rPr>
      </w:pPr>
      <w:r>
        <w:rPr>
          <w:lang w:val="nl-NL"/>
        </w:rPr>
        <w:t>De windlade is van eiken, inclusief stokken en roosters. Ze is ingedeeld in hele tonen vanuit het midden naar weerszijden aflopend en wordt afgesloten door middel van twee opliggende eiken voorslagen.</w:t>
      </w:r>
    </w:p>
    <w:p>
      <w:pPr>
        <w:pStyle w:val="T1"/>
        <w:jc w:val="start"/>
        <w:rPr/>
      </w:pPr>
      <w:r>
        <w:rPr>
          <w:lang w:val="nl-NL"/>
        </w:rPr>
        <w:t>Het metalen Adema-pijpwerk heeft gewreven spitsboog boven- en ronde onderlabia. De volgorde van de registers op de lade (van achter naar voor) is als volgt: Prestant 8, Holpijp 8, Octaaf 2, Quint 2 2/3, Prestant 4. De Prestant 8 is van C-H gecombineerd met de Holpijp. Het vervolg is van metaal en tot en met c</w:t>
      </w:r>
      <w:r>
        <w:rPr>
          <w:vertAlign w:val="superscript"/>
          <w:lang w:val="nl-NL"/>
        </w:rPr>
        <w:t>3</w:t>
      </w:r>
      <w:r>
        <w:rPr>
          <w:lang w:val="nl-NL"/>
        </w:rPr>
        <w:t xml:space="preserve"> voorzien van expressions; de overige zijn op lengte afgesneden. C-G van de Holpijp 8 zijn van naaldhout, afgevoerd, eiken handvatten en voorslagen; het vervolg is van metaal gedekt (op de lade). C-H van de Prestant 4 zijn van zink (fabriekspijpwerk, de grootste 6 met houten rolbaarden), het vervolg is Adema-pijpwerk. Expressions zijn aangebracht van C-f</w:t>
      </w:r>
      <w:r>
        <w:rPr>
          <w:vertAlign w:val="superscript"/>
          <w:lang w:val="nl-NL"/>
        </w:rPr>
        <w:t>2</w:t>
      </w:r>
      <w:r>
        <w:rPr>
          <w:lang w:val="nl-NL"/>
        </w:rPr>
        <w:t>, het vervolg is op lengte afgesneden. De Quint 2 2/3 begint op fis en bestaat uit nieuw pijpwerk (1981). De Octaaf 2 begint eveneens op fis en bestaat deels uit nieuw en deels gebruikt pijpwerk. Het weggenomen pijpwerk van Viola en Celeste is indertijd aangekocht door Ton van Eck.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character" w:styleId="Emphasis">
    <w:name w:val="Emphasis"/>
    <w:basedOn w:val="Standaardalinealettertype"/>
    <w:qFormat/>
    <w:rPr>
      <w:i/>
      <w:iCs/>
    </w:rPr>
  </w:style>
  <w:style w:type="character" w:styleId="StrongEmphasis">
    <w:name w:val="Strong Emphasis"/>
    <w:basedOn w:val="Standaardalinealettertype"/>
    <w:qFormat/>
    <w:rPr>
      <w:b/>
      <w:bCs/>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2008-02-27T16:11:00Z</dcterms:created>
  <dc:creator>WS1</dc:creator>
  <dc:description/>
  <dc:language>en-US</dc:language>
  <cp:lastModifiedBy>NIvO</cp:lastModifiedBy>
  <dcterms:modified xsi:type="dcterms:W3CDTF">2009-06-23T13:25:00Z</dcterms:modified>
  <cp:revision>7</cp:revision>
  <dc:subject/>
  <dc:title>Niekerk (Hunsingo) / 1883</dc:title>
</cp:coreProperties>
</file>