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Oostkapelle / 1903</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Rechtgesloten eenbeukige kerk met aangebouwde consistorie en een forse toren van drie geledingen met steunberen, een halfronde traptoren en een achtkantige spits. De toren dateert uit de 14e eeuw. Het in oorsprong 15e eeuwse schip werd in 1572 verwoest en in 1585 herbouwd; de resten van het koor zijn in 1610 gesloopt. De kerk is in 1822 verbouwd en kreeg in 1886 een nieuw plafond. Preekstoel uit ca 1650.</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Een elementaire vierdelige kas in rondboogstijl, met vier vlakke pijpvelden. Twee hoge en brede velden in het midden, en twee lagere velden aan weerszijde daarvan. De bogen worden aangezet met kleine voluten, die echter ondersteboven zijn aangebracht, precies niet zoals we gewend zijn van bijvoorbeeld een Ionisch kapiteel. Tussen de twee centrale bogen is in de zwikken ruimte ontstaan die is opgevuld met een kleine cirkel. De koplijst is met kleine knoppen versierd. Het front wordt afgesloten met een kanteellijst en op de hoeken met kleine kanteeltorens. De drie vergulde engelbeelden, David en twee fluitspelende engelen, stammen van een eerder achttiende-eeuws orgel dat van elders kwam, maar enkele decennia op deze plaats heeft gestaan en zich nu bevindt in de Torenkerk te Gapinge.</w:t>
      </w:r>
    </w:p>
    <w:p>
      <w:pPr>
        <w:pStyle w:val="T3Lit"/>
        <w:rPr>
          <w:lang w:val="nl-NL"/>
        </w:rPr>
      </w:pPr>
      <w:r>
        <w:rPr>
          <w:lang w:val="nl-NL"/>
        </w:rPr>
      </w:r>
    </w:p>
    <w:p>
      <w:pPr>
        <w:pStyle w:val="T3Lit"/>
        <w:rPr>
          <w:sz w:val="22"/>
          <w:lang w:val="nl-NL"/>
        </w:rPr>
      </w:pPr>
      <w:r>
        <w:rPr>
          <w:b/>
          <w:bCs/>
          <w:lang w:val="nl-NL"/>
        </w:rPr>
        <w:t>Niet gepubliceerde bron</w:t>
      </w:r>
    </w:p>
    <w:p>
      <w:pPr>
        <w:pStyle w:val="T3Lit"/>
        <w:rPr>
          <w:lang w:val="nl-NL"/>
        </w:rPr>
      </w:pPr>
      <w:r>
        <w:rPr>
          <w:lang w:val="nl-NL"/>
        </w:rPr>
        <w:t>Archief Hervormde Gemeente Oostkapelle.</w:t>
      </w:r>
    </w:p>
    <w:p>
      <w:pPr>
        <w:pStyle w:val="T3Lit"/>
        <w:rPr>
          <w:sz w:val="22"/>
          <w:lang w:val="nl-NL"/>
        </w:rPr>
      </w:pPr>
      <w:r>
        <w:rPr>
          <w:sz w:val="22"/>
          <w:lang w:val="nl-NL"/>
        </w:rPr>
      </w:r>
    </w:p>
    <w:p>
      <w:pPr>
        <w:pStyle w:val="T3Lit"/>
        <w:rPr>
          <w:sz w:val="22"/>
          <w:lang w:val="nl-NL"/>
        </w:rPr>
      </w:pPr>
      <w:r>
        <w:rPr>
          <w:sz w:val="22"/>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 Sauer</w:t>
      </w:r>
    </w:p>
    <w:p>
      <w:pPr>
        <w:pStyle w:val="T1"/>
        <w:jc w:val="start"/>
        <w:rPr>
          <w:lang w:val="nl-NL"/>
        </w:rPr>
      </w:pPr>
      <w:r>
        <w:rPr>
          <w:lang w:val="nl-NL"/>
        </w:rPr>
      </w:r>
    </w:p>
    <w:p>
      <w:pPr>
        <w:pStyle w:val="T1"/>
        <w:jc w:val="start"/>
        <w:rPr>
          <w:lang w:val="nl-NL"/>
        </w:rPr>
      </w:pPr>
      <w:r>
        <w:rPr>
          <w:lang w:val="nl-NL"/>
        </w:rPr>
        <w:t>Pels &amp; Van Leeuwen 1974</w:t>
      </w:r>
    </w:p>
    <w:p>
      <w:pPr>
        <w:pStyle w:val="T1"/>
        <w:jc w:val="start"/>
        <w:rPr>
          <w:lang w:val="nl-NL"/>
        </w:rPr>
      </w:pPr>
      <w:r>
        <w:rPr>
          <w:lang w:val="nl-NL"/>
        </w:rPr>
        <w:t>.</w:t>
        <w:tab/>
        <w:t>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4181" w:type="dxa"/>
        <w:jc w:val="start"/>
        <w:tblInd w:w="0" w:type="dxa"/>
        <w:tblLayout w:type="fixed"/>
        <w:tblCellMar>
          <w:top w:w="0" w:type="dxa"/>
          <w:start w:w="70" w:type="dxa"/>
          <w:bottom w:w="0" w:type="dxa"/>
          <w:end w:w="70" w:type="dxa"/>
        </w:tblCellMar>
      </w:tblPr>
      <w:tblGrid>
        <w:gridCol w:w="1488"/>
        <w:gridCol w:w="1009"/>
        <w:gridCol w:w="975"/>
        <w:gridCol w:w="709"/>
      </w:tblGrid>
      <w:tr>
        <w:trPr/>
        <w:tc>
          <w:tcPr>
            <w:tcW w:w="1488"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Principal</w:t>
            </w:r>
          </w:p>
          <w:p>
            <w:pPr>
              <w:pStyle w:val="T4dispositie"/>
              <w:rPr>
                <w:lang w:val="nl-NL"/>
              </w:rPr>
            </w:pPr>
            <w:r>
              <w:rPr>
                <w:lang w:val="nl-NL"/>
              </w:rPr>
              <w:t>Floete</w:t>
            </w:r>
          </w:p>
          <w:p>
            <w:pPr>
              <w:pStyle w:val="T4dispositie"/>
              <w:rPr>
                <w:lang w:val="nl-NL"/>
              </w:rPr>
            </w:pPr>
            <w:r>
              <w:rPr>
                <w:lang w:val="nl-NL"/>
              </w:rPr>
              <w:t>Gedackt</w:t>
            </w:r>
          </w:p>
          <w:p>
            <w:pPr>
              <w:pStyle w:val="T4dispositie"/>
              <w:rPr>
                <w:lang w:val="nl-NL"/>
              </w:rPr>
            </w:pPr>
            <w:r>
              <w:rPr>
                <w:lang w:val="nl-NL"/>
              </w:rPr>
              <w:t>Salicion.</w:t>
            </w:r>
          </w:p>
          <w:p>
            <w:pPr>
              <w:pStyle w:val="T4dispositie"/>
              <w:rPr>
                <w:lang w:val="nl-NL"/>
              </w:rPr>
            </w:pPr>
            <w:r>
              <w:rPr>
                <w:lang w:val="nl-NL"/>
              </w:rPr>
              <w:t>Octave</w:t>
            </w:r>
          </w:p>
          <w:p>
            <w:pPr>
              <w:pStyle w:val="T4dispositie"/>
              <w:rPr>
                <w:lang w:val="nl-NL"/>
              </w:rPr>
            </w:pPr>
            <w:r>
              <w:rPr>
                <w:lang w:val="nl-NL"/>
              </w:rPr>
              <w:t>Rauschq.</w:t>
            </w:r>
          </w:p>
        </w:tc>
        <w:tc>
          <w:tcPr>
            <w:tcW w:w="10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2/3 - 2'</w:t>
            </w:r>
          </w:p>
        </w:tc>
        <w:tc>
          <w:tcPr>
            <w:tcW w:w="975"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Subbass</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pedalkoppel</w:t>
      </w:r>
    </w:p>
    <w:p>
      <w:pPr>
        <w:pStyle w:val="T1"/>
        <w:jc w:val="start"/>
        <w:rPr>
          <w:lang w:val="nl-NL"/>
        </w:rPr>
      </w:pPr>
      <w:r>
        <w:rPr>
          <w:lang w:val="nl-NL"/>
        </w:rPr>
        <w:t>tutti</w:t>
      </w:r>
    </w:p>
    <w:p>
      <w:pPr>
        <w:pStyle w:val="T1"/>
        <w:jc w:val="start"/>
        <w:rPr>
          <w:lang w:val="nl-NL"/>
        </w:rPr>
      </w:pPr>
      <w:r>
        <w:rPr>
          <w:lang w:val="nl-NL"/>
        </w:rPr>
        <w:t>trede zwelkast Man</w:t>
      </w:r>
    </w:p>
    <w:p>
      <w:pPr>
        <w:pStyle w:val="T1"/>
        <w:jc w:val="start"/>
        <w:rPr>
          <w:lang w:val="nl-NL"/>
        </w:rPr>
      </w:pPr>
      <w:r>
        <w:rPr>
          <w:lang w:val="nl-NL"/>
        </w:rPr>
      </w:r>
    </w:p>
    <w:p>
      <w:pPr>
        <w:pStyle w:val="T1"/>
        <w:jc w:val="start"/>
        <w:rPr>
          <w:lang w:val="nl-NL"/>
        </w:rPr>
      </w:pPr>
      <w:r>
        <w:rPr>
          <w:lang w:val="nl-NL"/>
        </w:rPr>
        <w:t>Samenstelling vulstem</w:t>
      </w:r>
    </w:p>
    <w:tbl>
      <w:tblPr>
        <w:tblW w:w="2246" w:type="dxa"/>
        <w:jc w:val="start"/>
        <w:tblInd w:w="0" w:type="dxa"/>
        <w:tblLayout w:type="fixed"/>
        <w:tblCellMar>
          <w:top w:w="0" w:type="dxa"/>
          <w:start w:w="70" w:type="dxa"/>
          <w:bottom w:w="0" w:type="dxa"/>
          <w:end w:w="70" w:type="dxa"/>
        </w:tblCellMar>
      </w:tblPr>
      <w:tblGrid>
        <w:gridCol w:w="1528"/>
        <w:gridCol w:w="718"/>
      </w:tblGrid>
      <w:tr>
        <w:trPr/>
        <w:tc>
          <w:tcPr>
            <w:tcW w:w="1528" w:type="dxa"/>
            <w:tcBorders/>
          </w:tcPr>
          <w:p>
            <w:pPr>
              <w:pStyle w:val="T1"/>
              <w:jc w:val="start"/>
              <w:rPr>
                <w:lang w:val="nl-NL"/>
              </w:rPr>
            </w:pPr>
            <w:r>
              <w:rPr>
                <w:lang w:val="nl-NL"/>
              </w:rPr>
              <w:t>Rauschquinte</w:t>
            </w:r>
          </w:p>
        </w:tc>
        <w:tc>
          <w:tcPr>
            <w:tcW w:w="718" w:type="dxa"/>
            <w:tcBorders/>
          </w:tcPr>
          <w:p>
            <w:pPr>
              <w:pStyle w:val="T4dispositie"/>
              <w:rPr/>
            </w:pPr>
            <w:r>
              <w:rPr/>
              <w:t>C</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(1903)</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rein pneumatische kegellade-orgel bleef zo goed als compleet bewaard. De klaviatuur is uitgevoerd als semivrijstaande speeltafel tegen de rechterzijwand. De registerwippers bevinden zich in een schuin terras direct boven het handklavier, met in het midden de Tutti-wipper, rechts daarvan de 8’-registers en links de hogere registers, pedaalkoppel en Subbass. Boven het registerterras bevindt zich de firmanaamplaat met opusnummer 893.</w:t>
      </w:r>
    </w:p>
    <w:p>
      <w:pPr>
        <w:pStyle w:val="T1"/>
        <w:jc w:val="start"/>
        <w:rPr>
          <w:lang w:val="nl-NL"/>
        </w:rPr>
      </w:pPr>
      <w:r>
        <w:rPr>
          <w:lang w:val="nl-NL"/>
        </w:rPr>
        <w:t>Het gehele instrument is opgesteld in een zwelkas, de frontpijpen zijn alle loos. De windvoorziening bevindt zich in de onderkas.</w:t>
      </w:r>
    </w:p>
    <w:p>
      <w:pPr>
        <w:pStyle w:val="T1"/>
        <w:jc w:val="start"/>
        <w:rPr/>
      </w:pPr>
      <w:r>
        <w:rPr>
          <w:lang w:val="nl-NL"/>
        </w:rPr>
        <w:t>Manuaal en pedaal staan opgesteld op een gecombineerde registercancellade, in hele tonen vanuit het midden aflopend met de C-zijde boven de klaviatuur en vanaf de jaloezieën achter het front achtereenvolgens Rauschquinte, Oktave, Gedackt, Salicional, Floete, Principal en Subbass. De registerventielbalgjes bevinden zich centraal onder de lade. De Subbass 16’, C-H van zowel Principal 8’ als Salicional 8’ (beide open met houten stemschuiven), C-f van de Gedackt 8’ en c-h van de Floete 8’ (open met metalen stemlappen) zijn van grenenhout. Van Gedackt 8’ en Floete 8’ zijn C-H gecombineerd. Het groot octaaf van het 2 2/3’-koor van de Rauschquinte is gedekt (metaal), evenals fis-f</w:t>
      </w:r>
      <w:r>
        <w:rPr>
          <w:vertAlign w:val="superscript"/>
          <w:lang w:val="nl-NL"/>
        </w:rPr>
        <w:t>3</w:t>
      </w:r>
      <w:r>
        <w:rPr>
          <w:lang w:val="nl-NL"/>
        </w:rPr>
        <w:t xml:space="preserve"> van de Gedackt 8’, laatstgenoemde met bolrond voorstaande bovenlabia. De Floete 8’ is vanaf c</w:t>
      </w:r>
      <w:r>
        <w:rPr>
          <w:vertAlign w:val="superscript"/>
          <w:lang w:val="nl-NL"/>
        </w:rPr>
        <w:t>1</w:t>
      </w:r>
      <w:r>
        <w:rPr>
          <w:lang w:val="nl-NL"/>
        </w:rPr>
        <w:t xml:space="preserve"> van metaal, open, vanaf c</w:t>
      </w:r>
      <w:r>
        <w:rPr>
          <w:vertAlign w:val="superscript"/>
          <w:lang w:val="nl-NL"/>
        </w:rPr>
        <w:t>2</w:t>
      </w:r>
      <w:r>
        <w:rPr>
          <w:lang w:val="nl-NL"/>
        </w:rPr>
        <w:t xml:space="preserve"> is dit register overblazend met zijbaarden t/m fis</w:t>
      </w:r>
      <w:r>
        <w:rPr>
          <w:vertAlign w:val="superscript"/>
          <w:lang w:val="nl-NL"/>
        </w:rPr>
        <w:t>2</w:t>
      </w:r>
      <w:r>
        <w:rPr>
          <w:lang w:val="nl-NL"/>
        </w:rPr>
        <w:t>. De Salicional 8’ heeft freins voor c-h en kastbaarden voor c</w:t>
      </w:r>
      <w:r>
        <w:rPr>
          <w:vertAlign w:val="superscript"/>
          <w:lang w:val="nl-NL"/>
        </w:rPr>
        <w:t>1</w:t>
      </w:r>
      <w:r>
        <w:rPr>
          <w:lang w:val="nl-NL"/>
        </w:rPr>
        <w:t xml:space="preserve">-f </w:t>
      </w:r>
      <w:r>
        <w:rPr>
          <w:vertAlign w:val="superscript"/>
          <w:lang w:val="nl-NL"/>
        </w:rPr>
        <w:t>2</w:t>
      </w:r>
      <w:r>
        <w:rPr>
          <w:lang w:val="nl-NL"/>
        </w:rPr>
        <w:t>, Principal 8’ en Oktave 4’ hebben zijbaarden t/m h</w:t>
      </w:r>
      <w:r>
        <w:rPr>
          <w:vertAlign w:val="superscript"/>
          <w:lang w:val="nl-NL"/>
        </w:rPr>
        <w:t>1</w:t>
      </w:r>
      <w:r>
        <w:rPr>
          <w:lang w:val="nl-NL"/>
        </w:rPr>
        <w:t xml:space="preserve"> resp. h. Het open metalen pijpwerk is voorzien van expressions met uitzondering van Oktave 4’ en Rausquinte 2 2/3’-2’ vanaf respectievelijk fis</w:t>
      </w:r>
      <w:r>
        <w:rPr>
          <w:vertAlign w:val="superscript"/>
          <w:lang w:val="nl-NL"/>
        </w:rPr>
        <w:t>2</w:t>
      </w:r>
      <w:r>
        <w:rPr>
          <w:lang w:val="nl-NL"/>
        </w:rPr>
        <w:t>, h</w:t>
      </w:r>
      <w:r>
        <w:rPr>
          <w:vertAlign w:val="superscript"/>
          <w:lang w:val="nl-NL"/>
        </w:rPr>
        <w:t>1</w:t>
      </w:r>
      <w:r>
        <w:rPr>
          <w:lang w:val="nl-NL"/>
        </w:rPr>
        <w:t xml:space="preserve"> en fis</w:t>
      </w:r>
      <w:r>
        <w:rPr>
          <w:vertAlign w:val="superscript"/>
          <w:lang w:val="nl-NL"/>
        </w:rPr>
        <w:t>1</w:t>
      </w:r>
      <w:r>
        <w:rPr>
          <w:lang w:val="nl-NL"/>
        </w:rPr>
        <w:t xml:space="preserve">. </w:t>
      </w:r>
    </w:p>
    <w:p>
      <w:pPr>
        <w:pStyle w:val="T1"/>
        <w:jc w:val="start"/>
        <w:rPr/>
      </w:pPr>
      <w:r>
        <w:rPr>
          <w:lang w:val="nl-NL"/>
        </w:rPr>
        <w:t>Gezien manuaalaanduidingen op het pijpwerk van Subbass (III), Floete 8’ (c</w:t>
      </w:r>
      <w:r>
        <w:rPr>
          <w:vertAlign w:val="superscript"/>
          <w:lang w:val="nl-NL"/>
        </w:rPr>
        <w:t>1</w:t>
      </w:r>
      <w:r>
        <w:rPr>
          <w:lang w:val="nl-NL"/>
        </w:rPr>
        <w:t>-h</w:t>
      </w:r>
      <w:r>
        <w:rPr>
          <w:vertAlign w:val="superscript"/>
          <w:lang w:val="nl-NL"/>
        </w:rPr>
        <w:t>1</w:t>
      </w:r>
      <w:r>
        <w:rPr>
          <w:lang w:val="nl-NL"/>
        </w:rPr>
        <w:t xml:space="preserve"> I / c</w:t>
      </w:r>
      <w:r>
        <w:rPr>
          <w:vertAlign w:val="superscript"/>
          <w:lang w:val="nl-NL"/>
        </w:rPr>
        <w:t>2</w:t>
      </w:r>
      <w:r>
        <w:rPr>
          <w:lang w:val="nl-NL"/>
        </w:rPr>
        <w:t>-f</w:t>
      </w:r>
      <w:r>
        <w:rPr>
          <w:vertAlign w:val="superscript"/>
          <w:lang w:val="nl-NL"/>
        </w:rPr>
        <w:t>3</w:t>
      </w:r>
      <w:r>
        <w:rPr>
          <w:lang w:val="nl-NL"/>
        </w:rPr>
        <w:t xml:space="preserve"> II), Gedackt 8 (II) en Rauschquinte (I) gebruikte Sauer waarschijnlijk pijpwerk uit voorraad.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2007-10-18T09:45:00Z</dcterms:created>
  <dc:creator>WS1</dc:creator>
  <dc:description/>
  <dc:language>en-US</dc:language>
  <cp:lastModifiedBy>NIvO</cp:lastModifiedBy>
  <dcterms:modified xsi:type="dcterms:W3CDTF">2009-07-27T13:24:00Z</dcterms:modified>
  <cp:revision>10</cp:revision>
  <dc:subject/>
  <dc:title>Niekerk (Hunsingo) / 1883</dc:title>
</cp:coreProperties>
</file>