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Simonshaven / 1909</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Gepleisterde neoclassicistische zaalkerk met geveltoren, gebouwd in 1852 op de plaats van de door brand verwoeste middeleeuwse kerk. Het interieur is voorzien van pilasters en een gestukadoord houten koofplafond. Preekstoel met doophek en enkele luifelbanken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Een vijfdelig front, dat vrijwel identiek is aan het Dekkerorgel te Brouwershaven. </w:t>
      </w:r>
      <w:r>
        <w:rPr/>
        <w:t xml:space="preserve">Het heeft een halfronde middentoren, spitse zijtorens en vlakke tussenvelden op verhoogde pijpstok. Het orgel is een eenheid met gehele balkon en is subtiel gedecoreerd. Aan de onderzijde van de pijptorens zijn consoles aangebracht, die fraai zijn bewerkt en worden ondersteund door een knop. De tussenvelden lopen schuin op tegen de middentoren, de bovenlijst is hier gecanneleerd en aan boven en onderzijde gedecoreerd met een C-voluut. De pijpuiteinden zijn alle geblindeerd met gevarieerd gezaagd boogwerk met aan de bovenzijde bij de pijptorens in het midden een hangende lelie. Bij de vleugelstukken zijn te zien een lang uitgerekte S-voluut, enkele krullen, fluiten en hoorns. </w:t>
      </w:r>
      <w:r>
        <w:rPr>
          <w:lang w:val="nl-NL"/>
        </w:rPr>
        <w:t>De drie pijptorens zijn bekroond met smalle sierpotten met daartussen samengestelde vormen - uit knoppen en voluten - waarbij de vorm van het middelste opzetstuk sterk doet denken aan een harp.</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De Mixtuur</w:t>
      </w:r>
      <w:r>
        <w:rPr>
          <w:lang w:val="nl-NL"/>
        </w:rPr>
        <w:t>, 84 (1996), 177-179.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A.S.J. Dekker</w:t>
      </w:r>
    </w:p>
    <w:p>
      <w:pPr>
        <w:pStyle w:val="T1"/>
        <w:jc w:val="start"/>
        <w:rPr>
          <w:lang w:val="nl-NL"/>
        </w:rPr>
      </w:pPr>
      <w:r>
        <w:rPr>
          <w:lang w:val="nl-NL"/>
        </w:rPr>
        <w:t>2. E. Mühleisen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1. 1909</w:t>
      </w:r>
    </w:p>
    <w:p>
      <w:pPr>
        <w:pStyle w:val="T1"/>
        <w:jc w:val="start"/>
        <w:rPr>
          <w:lang w:val="nl-NL"/>
        </w:rPr>
      </w:pPr>
      <w:r>
        <w:rPr>
          <w:lang w:val="nl-NL"/>
        </w:rPr>
        <w:t>2. 1961</w:t>
      </w:r>
    </w:p>
    <w:p>
      <w:pPr>
        <w:pStyle w:val="T1"/>
        <w:jc w:val="start"/>
        <w:rPr>
          <w:lang w:val="nl-NL"/>
        </w:rPr>
      </w:pPr>
      <w:r>
        <w:rPr>
          <w:lang w:val="nl-NL"/>
        </w:rPr>
      </w:r>
    </w:p>
    <w:p>
      <w:pPr>
        <w:pStyle w:val="T1"/>
        <w:jc w:val="start"/>
        <w:rPr/>
      </w:pPr>
      <w:r>
        <w:rPr/>
        <w:t>Dispositie 1909</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Céleste D</w:t>
            </w:r>
          </w:p>
          <w:p>
            <w:pPr>
              <w:pStyle w:val="T4dispositie"/>
              <w:rPr>
                <w:lang w:val="nl-NL"/>
              </w:rPr>
            </w:pPr>
            <w:r>
              <w:rPr>
                <w:lang w:val="nl-NL"/>
              </w:rPr>
              <w:t>Octaaf</w:t>
            </w:r>
          </w:p>
          <w:p>
            <w:pPr>
              <w:pStyle w:val="T4dispositie"/>
              <w:rPr>
                <w:lang w:val="nl-NL"/>
              </w:rPr>
            </w:pPr>
            <w:r>
              <w:rPr>
                <w:lang w:val="nl-NL"/>
              </w:rPr>
              <w:t>Flûte dolce</w:t>
            </w:r>
          </w:p>
          <w:p>
            <w:pPr>
              <w:pStyle w:val="T4dispositie"/>
              <w:rPr>
                <w:lang w:val="nl-NL"/>
              </w:rPr>
            </w:pPr>
            <w:r>
              <w:rPr>
                <w:lang w:val="nl-NL"/>
              </w:rPr>
              <w:t>Quint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r>
              <w:rPr>
                <w:lang w:val="en-GB"/>
              </w:rPr>
              <w:t>'</w:t>
            </w:r>
          </w:p>
        </w:tc>
      </w:tr>
    </w:tbl>
    <w:p>
      <w:pPr>
        <w:pStyle w:val="T1"/>
        <w:jc w:val="start"/>
        <w:rPr>
          <w:sz w:val="20"/>
          <w:lang w:val="nl-NL"/>
        </w:rPr>
      </w:pPr>
      <w:r>
        <w:rPr>
          <w:sz w:val="20"/>
          <w:lang w:val="nl-NL"/>
        </w:rPr>
      </w:r>
    </w:p>
    <w:p>
      <w:pPr>
        <w:pStyle w:val="T1"/>
        <w:jc w:val="start"/>
        <w:rPr>
          <w:sz w:val="20"/>
          <w:lang w:val="nl-NL"/>
        </w:rPr>
      </w:pPr>
      <w:r>
        <w:rPr>
          <w:sz w:val="20"/>
          <w:lang w:val="nl-NL"/>
        </w:rPr>
        <w:t>octaafkoppel</w:t>
      </w:r>
    </w:p>
    <w:p>
      <w:pPr>
        <w:pStyle w:val="T1"/>
        <w:jc w:val="start"/>
        <w:rPr>
          <w:sz w:val="20"/>
          <w:lang w:val="nl-NL"/>
        </w:rPr>
      </w:pPr>
      <w:r>
        <w:rPr>
          <w:sz w:val="20"/>
          <w:lang w:val="nl-NL"/>
        </w:rPr>
        <w:t>vaste combinaties P F O</w:t>
      </w:r>
    </w:p>
    <w:p>
      <w:pPr>
        <w:pStyle w:val="T1"/>
        <w:jc w:val="start"/>
        <w:rPr>
          <w:sz w:val="20"/>
          <w:lang w:val="nl-NL"/>
        </w:rPr>
      </w:pPr>
      <w:r>
        <w:rPr>
          <w:sz w:val="20"/>
          <w:lang w:val="nl-NL"/>
        </w:rPr>
        <w:t>ventiel</w:t>
      </w:r>
    </w:p>
    <w:p>
      <w:pPr>
        <w:pStyle w:val="T1"/>
        <w:jc w:val="start"/>
        <w:rPr>
          <w:sz w:val="20"/>
          <w:lang w:val="nl-NL"/>
        </w:rPr>
      </w:pPr>
      <w:r>
        <w:rPr>
          <w:sz w:val="20"/>
          <w:lang w:val="nl-NL"/>
        </w:rPr>
      </w:r>
    </w:p>
    <w:p>
      <w:pPr>
        <w:pStyle w:val="T1"/>
        <w:jc w:val="start"/>
        <w:rPr>
          <w:lang w:val="nl-NL"/>
        </w:rPr>
      </w:pPr>
      <w:r>
        <w:rPr>
          <w:lang w:val="nl-NL"/>
        </w:rPr>
        <w:t>E. Mühleisen 1961</w:t>
      </w:r>
    </w:p>
    <w:p>
      <w:pPr>
        <w:pStyle w:val="T1"/>
        <w:jc w:val="start"/>
        <w:rPr>
          <w:lang w:val="nl-NL"/>
        </w:rPr>
      </w:pPr>
      <w:r>
        <w:rPr>
          <w:lang w:val="nl-NL"/>
        </w:rPr>
        <w:t>.</w:t>
        <w:tab/>
        <w:t>nieuw orgel in oude kas</w:t>
      </w:r>
    </w:p>
    <w:p>
      <w:pPr>
        <w:pStyle w:val="T1"/>
        <w:jc w:val="start"/>
        <w:rPr>
          <w:lang w:val="nl-NL"/>
        </w:rPr>
      </w:pPr>
      <w:r>
        <w:rPr>
          <w:lang w:val="nl-NL"/>
        </w:rPr>
      </w:r>
    </w:p>
    <w:p>
      <w:pPr>
        <w:pStyle w:val="T1"/>
        <w:jc w:val="start"/>
        <w:rPr>
          <w:lang w:val="nl-NL"/>
        </w:rPr>
      </w:pPr>
      <w:r>
        <w:rPr>
          <w:lang w:val="nl-NL"/>
        </w:rPr>
        <w:t>G. van Buuren 1982</w:t>
      </w:r>
    </w:p>
    <w:p>
      <w:pPr>
        <w:pStyle w:val="T1"/>
        <w:jc w:val="start"/>
        <w:rPr>
          <w:lang w:val="nl-NL"/>
        </w:rPr>
      </w:pPr>
      <w:r>
        <w:rPr>
          <w:lang w:val="nl-NL"/>
        </w:rPr>
        <w:t>.</w:t>
        <w:tab/>
        <w:t>windvoorziening gewijzigd</w:t>
      </w:r>
    </w:p>
    <w:p>
      <w:pPr>
        <w:pStyle w:val="T1"/>
        <w:jc w:val="start"/>
        <w:rPr>
          <w:lang w:val="nl-NL"/>
        </w:rPr>
      </w:pPr>
      <w:r>
        <w:rPr>
          <w:lang w:val="nl-NL"/>
        </w:rPr>
        <w:t>.</w:t>
        <w:tab/>
        <w:t>intonatie gecorrigeerd</w:t>
      </w:r>
    </w:p>
    <w:p>
      <w:pPr>
        <w:pStyle w:val="T1"/>
        <w:jc w:val="start"/>
        <w:rPr>
          <w:lang w:val="nl-NL"/>
        </w:rPr>
      </w:pPr>
      <w:r>
        <w:rPr>
          <w:lang w:val="nl-NL"/>
        </w:rPr>
      </w:r>
    </w:p>
    <w:p>
      <w:pPr>
        <w:pStyle w:val="T1"/>
        <w:jc w:val="start"/>
        <w:rPr>
          <w:lang w:val="nl-NL"/>
        </w:rPr>
      </w:pPr>
      <w:r>
        <w:rPr>
          <w:lang w:val="nl-NL"/>
        </w:rPr>
        <w:t>G. van Buuren 1993</w:t>
      </w:r>
    </w:p>
    <w:p>
      <w:pPr>
        <w:pStyle w:val="T1"/>
        <w:jc w:val="start"/>
        <w:rPr>
          <w:lang w:val="nl-NL"/>
        </w:rPr>
      </w:pPr>
      <w:r>
        <w:rPr>
          <w:lang w:val="nl-NL"/>
        </w:rPr>
        <w:t>.</w:t>
        <w:tab/>
        <w:t>samenstelling Fourniture gewijzigd</w:t>
      </w:r>
    </w:p>
    <w:p>
      <w:pPr>
        <w:pStyle w:val="T1"/>
        <w:jc w:val="start"/>
        <w:rPr>
          <w:lang w:val="nl-NL"/>
        </w:rPr>
      </w:pPr>
      <w:r>
        <w:rPr>
          <w:lang w:val="nl-NL"/>
        </w:rPr>
        <w:t>.</w:t>
        <w:tab/>
        <w:t>herintonatie</w:t>
      </w:r>
    </w:p>
    <w:p>
      <w:pPr>
        <w:pStyle w:val="T1"/>
        <w:jc w:val="start"/>
        <w:rPr>
          <w:lang w:val="nl-NL"/>
        </w:rPr>
      </w:pPr>
      <w:r>
        <w:rPr>
          <w:lang w:val="nl-NL"/>
        </w:rPr>
        <w:t>.</w:t>
        <w:tab/>
        <w:t>¼ komma stemming gelegd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975"/>
        <w:gridCol w:w="70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Flûte</w:t>
            </w:r>
          </w:p>
          <w:p>
            <w:pPr>
              <w:pStyle w:val="T4dispositie"/>
              <w:rPr>
                <w:lang w:val="nl-NL"/>
              </w:rPr>
            </w:pPr>
            <w:r>
              <w:rPr>
                <w:lang w:val="nl-NL"/>
              </w:rPr>
              <w:t>Doublette</w:t>
            </w:r>
          </w:p>
          <w:p>
            <w:pPr>
              <w:pStyle w:val="T4dispositie"/>
              <w:rPr>
                <w:lang w:val="nl-NL"/>
              </w:rPr>
            </w:pPr>
            <w:r>
              <w:rPr>
                <w:lang w:val="nl-NL"/>
              </w:rPr>
              <w:t>Fourniture</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3-5 r.</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Bordun</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tirasse</w:t>
      </w:r>
    </w:p>
    <w:p>
      <w:pPr>
        <w:pStyle w:val="T1"/>
        <w:jc w:val="start"/>
        <w:rPr>
          <w:lang w:val="nl-NL"/>
        </w:rPr>
      </w:pPr>
      <w:r>
        <w:rPr>
          <w:lang w:val="nl-NL"/>
        </w:rPr>
      </w:r>
    </w:p>
    <w:p>
      <w:pPr>
        <w:pStyle w:val="T1"/>
        <w:jc w:val="start"/>
        <w:rPr>
          <w:lang w:val="nl-NL"/>
        </w:rPr>
      </w:pPr>
      <w:r>
        <w:rPr>
          <w:lang w:val="nl-NL"/>
        </w:rPr>
        <w:t>Samenstelling vulstem</w:t>
      </w:r>
    </w:p>
    <w:tbl>
      <w:tblPr>
        <w:tblW w:w="4515" w:type="dxa"/>
        <w:jc w:val="start"/>
        <w:tblInd w:w="0" w:type="dxa"/>
        <w:tblLayout w:type="fixed"/>
        <w:tblCellMar>
          <w:top w:w="0" w:type="dxa"/>
          <w:start w:w="108" w:type="dxa"/>
          <w:bottom w:w="0" w:type="dxa"/>
          <w:end w:w="108" w:type="dxa"/>
        </w:tblCellMar>
      </w:tblPr>
      <w:tblGrid>
        <w:gridCol w:w="1317"/>
        <w:gridCol w:w="794"/>
        <w:gridCol w:w="794"/>
        <w:gridCol w:w="805"/>
        <w:gridCol w:w="805"/>
      </w:tblGrid>
      <w:tr>
        <w:trPr/>
        <w:tc>
          <w:tcPr>
            <w:tcW w:w="1317" w:type="dxa"/>
            <w:tcBorders/>
          </w:tcPr>
          <w:p>
            <w:pPr>
              <w:pStyle w:val="T1"/>
              <w:jc w:val="start"/>
              <w:rPr>
                <w:lang w:val="nl-NL"/>
              </w:rPr>
            </w:pPr>
            <w:r>
              <w:rPr>
                <w:lang w:val="nl-NL"/>
              </w:rPr>
              <w:t>Fourniture</w:t>
            </w:r>
          </w:p>
        </w:tc>
        <w:tc>
          <w:tcPr>
            <w:tcW w:w="794" w:type="dxa"/>
            <w:tcBorders/>
          </w:tcPr>
          <w:p>
            <w:pPr>
              <w:pStyle w:val="T4dispositie"/>
              <w:rPr/>
            </w:pPr>
            <w:r>
              <w:rPr/>
              <w:t>C</w:t>
            </w:r>
          </w:p>
          <w:p>
            <w:pPr>
              <w:pStyle w:val="T4dispositie"/>
              <w:rPr/>
            </w:pPr>
            <w:r>
              <w:rPr/>
              <w:t>1 1/3</w:t>
            </w:r>
          </w:p>
          <w:p>
            <w:pPr>
              <w:pStyle w:val="T4dispositie"/>
              <w:rPr/>
            </w:pPr>
            <w:r>
              <w:rPr/>
              <w:t>1</w:t>
            </w:r>
          </w:p>
          <w:p>
            <w:pPr>
              <w:pStyle w:val="T4dispositie"/>
              <w:rPr/>
            </w:pPr>
            <w:r>
              <w:rPr/>
              <w:t>4/5</w:t>
            </w:r>
          </w:p>
        </w:tc>
        <w:tc>
          <w:tcPr>
            <w:tcW w:w="794"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4/5</w:t>
            </w:r>
          </w:p>
        </w:tc>
        <w:tc>
          <w:tcPr>
            <w:tcW w:w="805" w:type="dxa"/>
            <w:tcBorders/>
          </w:tcPr>
          <w:p>
            <w:pPr>
              <w:pStyle w:val="T4dispositie"/>
              <w:rPr/>
            </w:pPr>
            <w:r>
              <w:rPr/>
              <w:t>c</w:t>
            </w:r>
            <w:r>
              <w:rPr>
                <w:szCs w:val="24"/>
                <w:vertAlign w:val="superscript"/>
              </w:rPr>
              <w:t>1</w:t>
            </w:r>
          </w:p>
          <w:p>
            <w:pPr>
              <w:pStyle w:val="T4dispositie"/>
              <w:rPr/>
            </w:pPr>
            <w:r>
              <w:rPr/>
              <w:t>2 2/3</w:t>
            </w:r>
          </w:p>
          <w:p>
            <w:pPr>
              <w:pStyle w:val="T4dispositie"/>
              <w:rPr/>
            </w:pPr>
            <w:r>
              <w:rPr/>
              <w:t>2</w:t>
            </w:r>
          </w:p>
          <w:p>
            <w:pPr>
              <w:pStyle w:val="T4dispositie"/>
              <w:rPr/>
            </w:pPr>
            <w:r>
              <w:rPr/>
              <w:t>1 3/5</w:t>
            </w:r>
          </w:p>
          <w:p>
            <w:pPr>
              <w:pStyle w:val="T4dispositie"/>
              <w:rPr/>
            </w:pPr>
            <w:r>
              <w:rPr/>
              <w:t>1 1/3</w:t>
            </w:r>
          </w:p>
        </w:tc>
        <w:tc>
          <w:tcPr>
            <w:tcW w:w="805" w:type="dxa"/>
            <w:tcBorders/>
          </w:tcPr>
          <w:p>
            <w:pPr>
              <w:pStyle w:val="T4dispositie"/>
              <w:rPr/>
            </w:pPr>
            <w:r>
              <w:rPr/>
              <w:t>c</w:t>
            </w:r>
            <w:r>
              <w:rPr>
                <w:szCs w:val="24"/>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3/5</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¼ komma middentoon</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schwimerbalg</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2008-02-28T11:00:00Z</dcterms:created>
  <dc:creator>WS1</dc:creator>
  <dc:description/>
  <dc:language>en-US</dc:language>
  <cp:lastModifiedBy>NIvO</cp:lastModifiedBy>
  <dcterms:modified xsi:type="dcterms:W3CDTF">2009-10-06T13:14:00Z</dcterms:modified>
  <cp:revision>8</cp:revision>
  <dc:subject/>
  <dc:title>Niekerk (Hunsingo) / 1883</dc:title>
</cp:coreProperties>
</file>