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Uden / 1906</w:t>
      </w:r>
    </w:p>
    <w:p>
      <w:pPr>
        <w:pStyle w:val="Heading2"/>
        <w:rPr>
          <w:i w:val="false"/>
          <w:i w:val="false"/>
          <w:iCs/>
        </w:rPr>
      </w:pPr>
      <w:r>
        <w:rPr>
          <w:i w:val="false"/>
          <w:iCs/>
        </w:rPr>
        <w:t>R.K. St-Petruskerk</w:t>
      </w:r>
    </w:p>
    <w:p>
      <w:pPr>
        <w:pStyle w:val="Heading2"/>
        <w:rPr>
          <w:i w:val="false"/>
          <w:i w:val="false"/>
          <w:iCs/>
        </w:rPr>
      </w:pPr>
      <w:r>
        <w:rPr>
          <w:i w:val="false"/>
          <w:iCs/>
        </w:rPr>
        <w:t>Hoofdorgel</w:t>
      </w:r>
    </w:p>
    <w:p>
      <w:pPr>
        <w:pStyle w:val="T1"/>
        <w:jc w:val="start"/>
        <w:rPr>
          <w:i/>
          <w:i/>
          <w:iCs/>
          <w:lang w:val="nl-NL"/>
        </w:rPr>
      </w:pPr>
      <w:r>
        <w:rPr>
          <w:i/>
          <w:iCs/>
          <w:lang w:val="nl-NL"/>
        </w:rPr>
      </w:r>
    </w:p>
    <w:p>
      <w:pPr>
        <w:pStyle w:val="T1"/>
        <w:jc w:val="start"/>
        <w:rPr>
          <w:i/>
          <w:i/>
          <w:iCs/>
          <w:lang w:val="nl-NL"/>
        </w:rPr>
      </w:pPr>
      <w:r>
        <w:rPr>
          <w:i/>
          <w:iCs/>
          <w:lang w:val="nl-NL"/>
        </w:rPr>
        <w:t xml:space="preserve">Driebeukige kruisbasiliek met klaverbladvormige koorpartij, gebouwd in 1890 naar ontwerp van C. Weber. Het gebouw wordt gedomineerd door een achtkantige vieringtoren met tamboer en ingesnoerde koepel alsmede twee achtkantige westtorens. De vormgeving is geënt op de 13e eeuwse romangotiek. Zowel inwendig als uitwendig is de kerk rijk versierd met nissen, arcaden en boogfriezen. De schilderingen in de tamboer zijn van de hand van J. Oosterman. Het interieur dateert grotendeels uit de bouwtijd.  </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Twee identieke gespiegelde kassen links en rechts van de kerkvensters, met het pijpwerk aan de korte zijde. Dominant zijn de overhoekse pijptorens, opgezet als uitsnede uit een octogonaal, die worden ondersteund door een flinke console met voluten. Het geheel rust op een zuil met een diagonaal geplaatst hoekig basement. De torens zijn bekroond met een baldakijn met tootbogen, frontons, een boogfries, gotische vierpassen en pinakels. Helemaal bovenop zien we een pinakel met hogels en een kruisbloem. Aan de korte zijden is pijpwerk verdeeld over drie velden. Telkens twee velden zijn ongedeeld en staan op een met rankwerk versierde pijpstok. Daartussen een gedeeld veld. Alle velden zijn aan de bovenzijde afgesloten met een rondboog, die wordt ondersteund door zuiltjes. Het geheel is aangekleed met tandlijsten en een tootlijst bovenop. In het midden zijn de korte zijden bekroond met pinakels, en een koepeltoren met kruisbloem(?). De lange zijden van de kassen zijn pijploos, maar wel voorzien van geluidsgaten. De onderkas aan de korte zijde is ingelegd met paneelwerk met in het midden gotische vierpassen. Een verrassend detail is het hoge schuine dak tegen de achterste kerkmuur, dat het pijpwerk binnen de kas houdt.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117.</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304-305.</w:t>
      </w:r>
    </w:p>
    <w:p>
      <w:pPr>
        <w:pStyle w:val="T3Lit"/>
        <w:jc w:val="start"/>
        <w:rPr/>
      </w:pPr>
      <w:r>
        <w:rPr>
          <w:i/>
          <w:lang w:val="nl-NL"/>
        </w:rPr>
        <w:t>De Praestant</w:t>
      </w:r>
      <w:r>
        <w:rPr>
          <w:lang w:val="nl-NL"/>
        </w:rPr>
        <w:t>, 19/4 (1970), ..</w:t>
      </w:r>
    </w:p>
    <w:p>
      <w:pPr>
        <w:pStyle w:val="T3Lit"/>
        <w:jc w:val="start"/>
        <w:rPr/>
      </w:pPr>
      <w:r>
        <w:rPr>
          <w:i/>
          <w:lang w:val="nl-NL"/>
        </w:rPr>
        <w:t>Verschueren Orgelnieuws</w:t>
      </w:r>
      <w:r>
        <w:rPr>
          <w:lang w:val="nl-NL"/>
        </w:rPr>
        <w:t>, september 1970.</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Rapport Ton van Eck en Leon van den Brand, januari 2001.</w:t>
      </w:r>
    </w:p>
    <w:p>
      <w:pPr>
        <w:pStyle w:val="T3Lit"/>
        <w:jc w:val="start"/>
        <w:rPr>
          <w:lang w:val="nl-NL"/>
        </w:rPr>
      </w:pPr>
      <w:r>
        <w:rPr>
          <w:lang w:val="nl-NL"/>
        </w:rPr>
      </w:r>
    </w:p>
    <w:p>
      <w:pPr>
        <w:pStyle w:val="T3Lit"/>
        <w:jc w:val="start"/>
        <w:rPr>
          <w:lang w:val="nl-NL"/>
        </w:rPr>
      </w:pPr>
      <w:r>
        <w:rPr>
          <w:lang w:val="nl-NL"/>
        </w:rPr>
        <w:t>Monumentnummer 35829</w:t>
      </w:r>
    </w:p>
    <w:p>
      <w:pPr>
        <w:pStyle w:val="T3Lit"/>
        <w:jc w:val="start"/>
        <w:rPr>
          <w:lang w:val="nl-NL"/>
        </w:rPr>
      </w:pPr>
      <w:r>
        <w:rPr>
          <w:lang w:val="nl-NL"/>
        </w:rPr>
        <w:t>Orgelnummer 2110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Th. Nöhren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L. Verschueren 1970</w:t>
      </w:r>
    </w:p>
    <w:p>
      <w:pPr>
        <w:pStyle w:val="T1"/>
        <w:jc w:val="start"/>
        <w:rPr>
          <w:lang w:val="nl-NL"/>
        </w:rPr>
      </w:pPr>
      <w:r>
        <w:rPr>
          <w:lang w:val="nl-NL"/>
        </w:rPr>
        <w:t>.</w:t>
        <w:tab/>
        <w:t>restauratie</w:t>
      </w:r>
    </w:p>
    <w:p>
      <w:pPr>
        <w:pStyle w:val="T1"/>
        <w:jc w:val="start"/>
        <w:rPr>
          <w:lang w:val="nl-NL"/>
        </w:rPr>
      </w:pPr>
      <w:r>
        <w:rPr>
          <w:lang w:val="nl-NL"/>
        </w:rPr>
        <w:t>.</w:t>
        <w:tab/>
        <w:t>pneumatische tractuur elektropneumatisch gemaakt</w:t>
      </w:r>
    </w:p>
    <w:p>
      <w:pPr>
        <w:pStyle w:val="T1"/>
        <w:jc w:val="start"/>
        <w:rPr>
          <w:lang w:val="nl-NL"/>
        </w:rPr>
      </w:pPr>
      <w:r>
        <w:rPr>
          <w:lang w:val="nl-NL"/>
        </w:rPr>
        <w:t>.</w:t>
        <w:tab/>
        <w:t>dispositiewijzigingen</w:t>
      </w:r>
    </w:p>
    <w:p>
      <w:pPr>
        <w:pStyle w:val="T1"/>
        <w:jc w:val="start"/>
        <w:rPr>
          <w:lang w:val="nl-NL"/>
        </w:rPr>
      </w:pPr>
      <w:r>
        <w:rPr>
          <w:lang w:val="nl-NL"/>
        </w:rPr>
        <w:tab/>
        <w:t>Man I - Gemshoorn 8', + Nasard 2 2/3'; samenstelling Mixtuur gewijzigd</w:t>
      </w:r>
    </w:p>
    <w:p>
      <w:pPr>
        <w:pStyle w:val="T1"/>
        <w:ind w:start="708" w:hanging="0"/>
        <w:jc w:val="start"/>
        <w:rPr>
          <w:lang w:val="nl-NL"/>
        </w:rPr>
      </w:pPr>
      <w:r>
        <w:rPr>
          <w:lang w:val="nl-NL"/>
        </w:rPr>
        <w:t>Man II - Salicionaal 8', Aeoline 8', - Voix Céleste 8', + Gemshoorn 8' (van Man I), + Larigot 1 1/3', + Sesquialter 2 st.</w:t>
      </w:r>
    </w:p>
    <w:p>
      <w:pPr>
        <w:pStyle w:val="T1"/>
        <w:ind w:start="708" w:hanging="0"/>
        <w:jc w:val="start"/>
        <w:rPr>
          <w:lang w:val="nl-NL"/>
        </w:rPr>
      </w:pPr>
      <w:r>
        <w:rPr>
          <w:lang w:val="nl-NL"/>
        </w:rPr>
        <w:t>Ped - Violon 16', - Violoncello 8', + Gedekt 8', + Ruispijp 3 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090" w:type="dxa"/>
        <w:jc w:val="start"/>
        <w:tblInd w:w="-70" w:type="dxa"/>
        <w:tblLayout w:type="fixed"/>
        <w:tblCellMar>
          <w:top w:w="0" w:type="dxa"/>
          <w:start w:w="70" w:type="dxa"/>
          <w:bottom w:w="0" w:type="dxa"/>
          <w:end w:w="70" w:type="dxa"/>
        </w:tblCellMar>
      </w:tblPr>
      <w:tblGrid>
        <w:gridCol w:w="1690"/>
        <w:gridCol w:w="720"/>
        <w:gridCol w:w="2160"/>
        <w:gridCol w:w="745"/>
        <w:gridCol w:w="1135"/>
        <w:gridCol w:w="64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Principaal</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Flûte Dolce</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3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Manuaal</w:t>
            </w:r>
            <w:r>
              <w:rPr>
                <w:lang w:val="nl-NL"/>
              </w:rPr>
              <w:t xml:space="preserve"> </w:t>
            </w:r>
            <w:r>
              <w:rPr>
                <w:i/>
                <w:iCs/>
                <w:lang w:val="nl-NL"/>
              </w:rPr>
              <w:t>(II in zwelkast)</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Lieblich Gedekt</w:t>
            </w:r>
          </w:p>
          <w:p>
            <w:pPr>
              <w:pStyle w:val="T4dispositie"/>
              <w:jc w:val="start"/>
              <w:rPr>
                <w:lang w:val="nl-NL"/>
              </w:rPr>
            </w:pPr>
            <w:r>
              <w:rPr>
                <w:lang w:val="nl-NL"/>
              </w:rPr>
              <w:t>Vioolprestant</w:t>
            </w:r>
          </w:p>
          <w:p>
            <w:pPr>
              <w:pStyle w:val="T4dispositie"/>
              <w:jc w:val="start"/>
              <w:rPr>
                <w:lang w:val="nl-NL"/>
              </w:rPr>
            </w:pPr>
            <w:r>
              <w:rPr>
                <w:lang w:val="nl-NL"/>
              </w:rPr>
              <w:t>Gemshoorn</w:t>
            </w:r>
          </w:p>
          <w:p>
            <w:pPr>
              <w:pStyle w:val="T4dispositie"/>
              <w:jc w:val="start"/>
              <w:rPr>
                <w:lang w:val="nl-NL"/>
              </w:rPr>
            </w:pPr>
            <w:r>
              <w:rPr>
                <w:lang w:val="nl-NL"/>
              </w:rPr>
              <w:t>Quintadeen</w:t>
            </w:r>
          </w:p>
          <w:p>
            <w:pPr>
              <w:pStyle w:val="T4dispositie"/>
              <w:jc w:val="start"/>
              <w:rPr>
                <w:lang w:val="nl-NL"/>
              </w:rPr>
            </w:pPr>
            <w:r>
              <w:rPr>
                <w:lang w:val="nl-NL"/>
              </w:rPr>
              <w:t>Principaal</w:t>
            </w:r>
          </w:p>
          <w:p>
            <w:pPr>
              <w:pStyle w:val="T4dispositie"/>
              <w:jc w:val="start"/>
              <w:rPr>
                <w:lang w:val="nl-NL"/>
              </w:rPr>
            </w:pPr>
            <w:r>
              <w:rPr>
                <w:lang w:val="nl-NL"/>
              </w:rPr>
              <w:t>Flûte Traverse</w:t>
            </w:r>
          </w:p>
          <w:p>
            <w:pPr>
              <w:pStyle w:val="T4dispositie"/>
              <w:jc w:val="start"/>
              <w:rPr>
                <w:lang w:val="nl-NL"/>
              </w:rPr>
            </w:pPr>
            <w:r>
              <w:rPr>
                <w:lang w:val="nl-NL"/>
              </w:rPr>
              <w:t>Piccolo</w:t>
            </w:r>
          </w:p>
          <w:p>
            <w:pPr>
              <w:pStyle w:val="T4dispositie"/>
              <w:jc w:val="start"/>
              <w:rPr>
                <w:lang w:val="nl-NL"/>
              </w:rPr>
            </w:pPr>
            <w:r>
              <w:rPr>
                <w:lang w:val="nl-NL"/>
              </w:rPr>
              <w:t>Larigot</w:t>
            </w:r>
          </w:p>
          <w:p>
            <w:pPr>
              <w:pStyle w:val="T4dispositie"/>
              <w:jc w:val="start"/>
              <w:rPr>
                <w:lang w:val="nl-NL"/>
              </w:rPr>
            </w:pPr>
            <w:r>
              <w:rPr>
                <w:lang w:val="nl-NL"/>
              </w:rPr>
              <w:t>Sesquialter</w:t>
            </w:r>
          </w:p>
          <w:p>
            <w:pPr>
              <w:pStyle w:val="T4dispositie"/>
              <w:jc w:val="start"/>
              <w:rPr>
                <w:lang w:val="nl-NL"/>
              </w:rPr>
            </w:pPr>
            <w:r>
              <w:rPr>
                <w:lang w:val="nl-NL"/>
              </w:rPr>
              <w:t>Clarinet</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2 st.</w:t>
            </w:r>
          </w:p>
          <w:p>
            <w:pPr>
              <w:pStyle w:val="T4dispositie"/>
              <w:jc w:val="start"/>
              <w:rPr>
                <w:lang w:val="nl-NL"/>
              </w:rPr>
            </w:pPr>
            <w:r>
              <w:rPr>
                <w:lang w:val="nl-NL"/>
              </w:rPr>
              <w:t>8'</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Majorbas</w:t>
            </w:r>
          </w:p>
          <w:p>
            <w:pPr>
              <w:pStyle w:val="T4dispositie"/>
              <w:jc w:val="start"/>
              <w:rPr>
                <w:lang w:val="nl-NL"/>
              </w:rPr>
            </w:pPr>
            <w:r>
              <w:rPr>
                <w:lang w:val="nl-NL"/>
              </w:rPr>
              <w:t>Contrabas</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tc>
        <w:tc>
          <w:tcPr>
            <w:tcW w:w="6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PP P MF F TT</w:t>
      </w:r>
    </w:p>
    <w:p>
      <w:pPr>
        <w:pStyle w:val="T1"/>
        <w:jc w:val="start"/>
        <w:rPr>
          <w:lang w:val="nl-NL"/>
        </w:rPr>
      </w:pPr>
      <w:r>
        <w:rPr>
          <w:lang w:val="nl-NL"/>
        </w:rPr>
        <w:t>vrije combinatie</w:t>
      </w:r>
    </w:p>
    <w:p>
      <w:pPr>
        <w:pStyle w:val="T1"/>
        <w:jc w:val="start"/>
        <w:rPr>
          <w:lang w:val="nl-NL"/>
        </w:rPr>
      </w:pPr>
      <w:r>
        <w:rPr>
          <w:lang w:val="nl-NL"/>
        </w:rPr>
        <w:t>autom. pianopedaal</w:t>
      </w:r>
    </w:p>
    <w:p>
      <w:pPr>
        <w:pStyle w:val="T1"/>
        <w:jc w:val="start"/>
        <w:rPr>
          <w:lang w:val="nl-NL"/>
        </w:rPr>
      </w:pPr>
      <w:r>
        <w:rPr>
          <w:lang w:val="nl-NL"/>
        </w:rPr>
        <w:t>generaal crescendo</w:t>
      </w:r>
    </w:p>
    <w:p>
      <w:pPr>
        <w:pStyle w:val="T1"/>
        <w:jc w:val="start"/>
        <w:rPr>
          <w:lang w:val="nl-NL"/>
        </w:rPr>
      </w:pPr>
      <w:r>
        <w:rPr>
          <w:lang w:val="nl-NL"/>
        </w:rPr>
        <w:t>trede zwelkast Man II</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r>
    </w:tbl>
    <w:p>
      <w:pPr>
        <w:pStyle w:val="T1"/>
        <w:jc w:val="start"/>
        <w:rPr/>
      </w:pPr>
      <w:r>
        <w:rPr/>
      </w:r>
    </w:p>
    <w:p>
      <w:pPr>
        <w:pStyle w:val="T1"/>
        <w:jc w:val="start"/>
        <w:rPr/>
      </w:pPr>
      <w:r>
        <w:rPr/>
        <w:t xml:space="preserve">Cornet HW   </w:t>
      </w:r>
      <w:r>
        <w:rPr>
          <w:sz w:val="20"/>
        </w:rPr>
        <w:t>c</w:t>
      </w:r>
      <w:r>
        <w:rPr>
          <w:sz w:val="20"/>
          <w:szCs w:val="24"/>
          <w:vertAlign w:val="superscript"/>
        </w:rPr>
        <w:t>1</w:t>
      </w:r>
      <w:r>
        <w:rPr>
          <w:sz w:val="20"/>
        </w:rPr>
        <w:t xml:space="preserve">   2 2/3 - 2 - 1 3/5</w:t>
      </w:r>
    </w:p>
    <w:p>
      <w:pPr>
        <w:pStyle w:val="T1"/>
        <w:jc w:val="start"/>
        <w:rPr/>
      </w:pPr>
      <w:r>
        <w:rPr/>
      </w:r>
    </w:p>
    <w:p>
      <w:pPr>
        <w:pStyle w:val="T1"/>
        <w:jc w:val="start"/>
        <w:rPr>
          <w:lang w:val="nl-NL"/>
        </w:rPr>
      </w:pPr>
      <w:r>
        <w:rPr>
          <w:lang w:val="nl-NL"/>
        </w:rPr>
        <w:t xml:space="preserve">Sesquialter ZwW   </w:t>
      </w:r>
      <w:r>
        <w:rPr>
          <w:sz w:val="20"/>
        </w:rPr>
        <w:t>f   2 2/3- 1 3/5</w:t>
      </w:r>
    </w:p>
    <w:p>
      <w:pPr>
        <w:pStyle w:val="T1"/>
        <w:jc w:val="start"/>
        <w:rPr>
          <w:lang w:val="nl-NL"/>
        </w:rPr>
      </w:pPr>
      <w:r>
        <w:rPr>
          <w:lang w:val="nl-NL"/>
        </w:rPr>
      </w:r>
    </w:p>
    <w:tbl>
      <w:tblPr>
        <w:tblW w:w="1776" w:type="dxa"/>
        <w:jc w:val="start"/>
        <w:tblInd w:w="-70" w:type="dxa"/>
        <w:tblLayout w:type="fixed"/>
        <w:tblCellMar>
          <w:top w:w="0" w:type="dxa"/>
          <w:start w:w="70" w:type="dxa"/>
          <w:bottom w:w="0" w:type="dxa"/>
          <w:end w:w="70" w:type="dxa"/>
        </w:tblCellMar>
      </w:tblPr>
      <w:tblGrid>
        <w:gridCol w:w="1047"/>
        <w:gridCol w:w="729"/>
      </w:tblGrid>
      <w:tr>
        <w:trPr/>
        <w:tc>
          <w:tcPr>
            <w:tcW w:w="1047" w:type="dxa"/>
            <w:tcBorders/>
          </w:tcPr>
          <w:p>
            <w:pPr>
              <w:pStyle w:val="T1"/>
              <w:jc w:val="start"/>
              <w:rPr>
                <w:lang w:val="nl-NL"/>
              </w:rPr>
            </w:pPr>
            <w:r>
              <w:rPr>
                <w:lang w:val="nl-NL"/>
              </w:rPr>
              <w:t>Ruispijp</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regulateur</w:t>
      </w:r>
    </w:p>
    <w:p>
      <w:pPr>
        <w:pStyle w:val="T1"/>
        <w:jc w:val="start"/>
        <w:rPr>
          <w:lang w:val="nl-NL"/>
        </w:rPr>
      </w:pPr>
      <w:r>
        <w:rPr>
          <w:lang w:val="nl-NL"/>
        </w:rPr>
        <w:t>Winddruk</w:t>
      </w:r>
    </w:p>
    <w:p>
      <w:pPr>
        <w:pStyle w:val="T1"/>
        <w:jc w:val="start"/>
        <w:rPr>
          <w:lang w:val="nl-NL"/>
        </w:rPr>
      </w:pPr>
      <w:r>
        <w:rPr>
          <w:lang w:val="nl-NL"/>
        </w:rPr>
        <w:t>HW en ZwW 90 mm, Ped 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loodrecht op de balustrade; organist zit met zijn rug tegen de linker 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door Nöhren geleverde metalen labiaalpijpwerk is, indien niet anders aangegeven, voorzien van geperste labia. Het pijpwerk van het HW staat opgesteld op twee laden die van elkaar gescheiden zijn door een stemgang. Op de voorste lade staan de registers Prestant 16', Gamba 8', Flûte Harmonique 8', Principaal 8', Bourdon 16', Nasard 2 2/3' en Trompet 8'. Op de achterste laden staan de registers Mixtuur, Cornet, Octaaf 2', Gedekt 4', Octaaf 4' en Holpijp 8'. C-h van de Prestant 16' zijn van grenen met eiken voorslagen; deze pijpen staan afgevoerd op de supplementlade in de onderkas. Vanaf c</w:t>
      </w:r>
      <w:r>
        <w:rPr>
          <w:vertAlign w:val="superscript"/>
          <w:lang w:val="nl-NL"/>
        </w:rPr>
        <w:t>1</w:t>
      </w:r>
      <w:r>
        <w:rPr>
          <w:lang w:val="nl-NL"/>
        </w:rPr>
        <w:t xml:space="preserve"> staat het register op de hoofdlade, metaal met expressions; c</w:t>
      </w:r>
      <w:r>
        <w:rPr>
          <w:vertAlign w:val="superscript"/>
          <w:lang w:val="nl-NL"/>
        </w:rPr>
        <w:t>1</w:t>
      </w:r>
      <w:r>
        <w:rPr>
          <w:lang w:val="nl-NL"/>
        </w:rPr>
        <w:t>-h</w:t>
      </w:r>
      <w:r>
        <w:rPr>
          <w:vertAlign w:val="superscript"/>
          <w:lang w:val="nl-NL"/>
        </w:rPr>
        <w:t>2</w:t>
      </w:r>
      <w:r>
        <w:rPr>
          <w:lang w:val="nl-NL"/>
        </w:rPr>
        <w:t xml:space="preserve"> met zijbaarden. C-H van de Gamba 8' zijn van zink met opgesoldeerde labia en rolbaarden; vanaf c metaal met Gavioli freins; de kleinste pijpen hebben alleen zijbaarden. Alle pijpen met expressions. C-H van de Flûte harmonique 8' zijn van zink met rolbaarden; vanaf c spotted metal, c-h</w:t>
      </w:r>
      <w:r>
        <w:rPr>
          <w:vertAlign w:val="superscript"/>
          <w:lang w:val="nl-NL"/>
        </w:rPr>
        <w:t>1</w:t>
      </w:r>
      <w:r>
        <w:rPr>
          <w:lang w:val="nl-NL"/>
        </w:rPr>
        <w:t xml:space="preserve"> zijbaarden; c</w:t>
      </w:r>
      <w:r>
        <w:rPr>
          <w:vertAlign w:val="superscript"/>
          <w:lang w:val="nl-NL"/>
        </w:rPr>
        <w:t>2</w:t>
      </w:r>
      <w:r>
        <w:rPr>
          <w:lang w:val="nl-NL"/>
        </w:rPr>
        <w:t>-g</w:t>
      </w:r>
      <w:r>
        <w:rPr>
          <w:vertAlign w:val="superscript"/>
          <w:lang w:val="nl-NL"/>
        </w:rPr>
        <w:t>3</w:t>
      </w:r>
      <w:r>
        <w:rPr>
          <w:lang w:val="nl-NL"/>
        </w:rPr>
        <w:t xml:space="preserve"> overblazend; vanaf dis</w:t>
      </w:r>
      <w:r>
        <w:rPr>
          <w:vertAlign w:val="superscript"/>
          <w:lang w:val="nl-NL"/>
        </w:rPr>
        <w:t>1</w:t>
      </w:r>
      <w:r>
        <w:rPr>
          <w:lang w:val="nl-NL"/>
        </w:rPr>
        <w:t xml:space="preserve"> pijpwerk zonder bovenlabia. Van de Principaal 8' staan C-h in het front (tin), de overige pijpen staan op de lade; c</w:t>
      </w:r>
      <w:r>
        <w:rPr>
          <w:vertAlign w:val="superscript"/>
          <w:lang w:val="nl-NL"/>
        </w:rPr>
        <w:t>1</w:t>
      </w:r>
      <w:r>
        <w:rPr>
          <w:lang w:val="nl-NL"/>
        </w:rPr>
        <w:t>-h</w:t>
      </w:r>
      <w:r>
        <w:rPr>
          <w:vertAlign w:val="superscript"/>
          <w:lang w:val="nl-NL"/>
        </w:rPr>
        <w:t>1</w:t>
      </w:r>
      <w:r>
        <w:rPr>
          <w:lang w:val="nl-NL"/>
        </w:rPr>
        <w:t xml:space="preserve"> met zijbaarden. C-h van de Bourdon 16' zijn van grenen met eiken voorslagen. C-H staan op een supplementlade in de onderkas, het vervolg staat op de hoofdlade, de discant is van spotted metal. De </w:t>
      </w:r>
      <w:r>
        <w:rPr>
          <w:iCs/>
          <w:lang w:val="nl-NL"/>
        </w:rPr>
        <w:t xml:space="preserve">Nasard 2 2/3' </w:t>
      </w:r>
      <w:r>
        <w:rPr>
          <w:lang w:val="nl-NL"/>
        </w:rPr>
        <w:t>(Verschueren) staat op de oorspronkelijke plaats van de Gemshoorn 8 (thans op Man II). Van de Nasard zijn C-H gedekt en c-h voorzien van inwendige roeren, de discant is open, conisch. C-h van de Trompet 8' hebben intoneerlappen; c</w:t>
      </w:r>
      <w:r>
        <w:rPr>
          <w:vertAlign w:val="superscript"/>
          <w:lang w:val="nl-NL"/>
        </w:rPr>
        <w:t>1</w:t>
      </w:r>
      <w:r>
        <w:rPr>
          <w:lang w:val="nl-NL"/>
        </w:rPr>
        <w:t>-f</w:t>
      </w:r>
      <w:r>
        <w:rPr>
          <w:vertAlign w:val="superscript"/>
          <w:lang w:val="nl-NL"/>
        </w:rPr>
        <w:t>2</w:t>
      </w:r>
      <w:r>
        <w:rPr>
          <w:lang w:val="nl-NL"/>
        </w:rPr>
        <w:t xml:space="preserve"> op lengte, fis</w:t>
      </w:r>
      <w:r>
        <w:rPr>
          <w:vertAlign w:val="superscript"/>
          <w:lang w:val="nl-NL"/>
        </w:rPr>
        <w:t>2</w:t>
      </w:r>
      <w:r>
        <w:rPr>
          <w:lang w:val="nl-NL"/>
        </w:rPr>
        <w:t>-g</w:t>
      </w:r>
      <w:r>
        <w:rPr>
          <w:vertAlign w:val="superscript"/>
          <w:lang w:val="nl-NL"/>
        </w:rPr>
        <w:t>3</w:t>
      </w:r>
      <w:r>
        <w:rPr>
          <w:lang w:val="nl-NL"/>
        </w:rPr>
        <w:t xml:space="preserve"> bekers met dubbele lengte. Franse kelen en tongen; C-f enkele kop, fis-f</w:t>
      </w:r>
      <w:r>
        <w:rPr>
          <w:vertAlign w:val="superscript"/>
          <w:lang w:val="nl-NL"/>
        </w:rPr>
        <w:t>2</w:t>
      </w:r>
      <w:r>
        <w:rPr>
          <w:lang w:val="nl-NL"/>
        </w:rPr>
        <w:t xml:space="preserve"> kop en ring, fis</w:t>
      </w:r>
      <w:r>
        <w:rPr>
          <w:vertAlign w:val="superscript"/>
          <w:lang w:val="nl-NL"/>
        </w:rPr>
        <w:t>2</w:t>
      </w:r>
      <w:r>
        <w:rPr>
          <w:lang w:val="nl-NL"/>
        </w:rPr>
        <w:t>-g</w:t>
      </w:r>
      <w:r>
        <w:rPr>
          <w:vertAlign w:val="superscript"/>
          <w:lang w:val="nl-NL"/>
        </w:rPr>
        <w:t>3</w:t>
      </w:r>
      <w:r>
        <w:rPr>
          <w:lang w:val="nl-NL"/>
        </w:rPr>
        <w:t xml:space="preserve"> verzonken kop. Aan de andere zijde van de stemgang staat de Mixtuur, oorspronkelijk gebouwd als progression met op C de samenstelling 2 2/3, 2, 1 1/3 waaraan op c en c</w:t>
      </w:r>
      <w:r>
        <w:rPr>
          <w:vertAlign w:val="superscript"/>
          <w:lang w:val="nl-NL"/>
        </w:rPr>
        <w:t>1</w:t>
      </w:r>
      <w:r>
        <w:rPr>
          <w:lang w:val="nl-NL"/>
        </w:rPr>
        <w:t xml:space="preserve"> telkens een lager koor werd toegevoegd. In de huidige samenstelling is het oude pijpwerk deels nog aanwezig. Pijpwerk langer dan 1/3 voet is voorzien van expressions; pijpen korter dan 1/4 voet zijn op lengte afgesneden; de overige zijn voorzien van stemkrullen. Op c</w:t>
      </w:r>
      <w:r>
        <w:rPr>
          <w:vertAlign w:val="superscript"/>
          <w:lang w:val="nl-NL"/>
        </w:rPr>
        <w:t>1</w:t>
      </w:r>
      <w:r>
        <w:rPr>
          <w:lang w:val="nl-NL"/>
        </w:rPr>
        <w:t xml:space="preserve"> van de Cornet staat de inscriptie c</w:t>
      </w:r>
      <w:r>
        <w:rPr>
          <w:vertAlign w:val="superscript"/>
          <w:lang w:val="nl-NL"/>
        </w:rPr>
        <w:t>1</w:t>
      </w:r>
      <w:r>
        <w:rPr>
          <w:lang w:val="nl-NL"/>
        </w:rPr>
        <w:t xml:space="preserve"> 2 2/3' : or 1747. Dit doet vermoeden dat Nöhren in elk geval dit register uit Duitsland heeft laten toeleveren De Octaaf 2' is deels voorzien van expressions; C-H met zijbaarden. C-h van de Gedekt 4' zijn van Nöhren (C-H gedekt; c-h met inwendige roeren) de discant is van Verschueren, open, conisch met zijbaarden en spitsgeritste labia. C-H van de Holpijp 8' zijn van grenen, het vervolg is van metaal; c-d</w:t>
      </w:r>
      <w:r>
        <w:rPr>
          <w:vertAlign w:val="superscript"/>
          <w:lang w:val="nl-NL"/>
        </w:rPr>
        <w:t>3</w:t>
      </w:r>
      <w:r>
        <w:rPr>
          <w:lang w:val="nl-NL"/>
        </w:rPr>
        <w:t xml:space="preserve"> gedekt en verder open, conisch.</w:t>
      </w:r>
    </w:p>
    <w:p>
      <w:pPr>
        <w:pStyle w:val="T1"/>
        <w:jc w:val="start"/>
        <w:rPr/>
      </w:pPr>
      <w:r>
        <w:rPr>
          <w:bCs/>
          <w:lang w:val="nl-NL"/>
        </w:rPr>
        <w:t>Van de oorspronkelijke zwelkast voor Man II is het z</w:t>
      </w:r>
      <w:r>
        <w:rPr>
          <w:lang w:val="nl-NL"/>
        </w:rPr>
        <w:t>welraam nog aanwezig. C-H van de Vioolprestant 8' zijn van zink met opgesoldeerde labia (inscriptie Geigenprinzipal 8'); c-h met freins, c</w:t>
      </w:r>
      <w:r>
        <w:rPr>
          <w:vertAlign w:val="superscript"/>
          <w:lang w:val="nl-NL"/>
        </w:rPr>
        <w:t>1</w:t>
      </w:r>
      <w:r>
        <w:rPr>
          <w:lang w:val="nl-NL"/>
        </w:rPr>
        <w:t>-g</w:t>
      </w:r>
      <w:r>
        <w:rPr>
          <w:vertAlign w:val="superscript"/>
          <w:lang w:val="nl-NL"/>
        </w:rPr>
        <w:t>3</w:t>
      </w:r>
      <w:r>
        <w:rPr>
          <w:lang w:val="nl-NL"/>
        </w:rPr>
        <w:t xml:space="preserve"> met zijbaarden, alle pijpen met expressions. De </w:t>
      </w:r>
      <w:r>
        <w:rPr>
          <w:iCs/>
          <w:lang w:val="nl-NL"/>
        </w:rPr>
        <w:t xml:space="preserve">Larigot 1 1/3' (Verschueren) staat op de plaats van de oorspronkelijke Aeoline. De </w:t>
      </w:r>
      <w:r>
        <w:rPr>
          <w:lang w:val="nl-NL"/>
        </w:rPr>
        <w:t xml:space="preserve">Gemshoorn 8' staat op de plaats van de oorspronkelijke Salicionaal 8. Het register is geheel voorzien van expressions. C-H zijn van zink met opgesoldeerde labia; c-h Gavioli freins, het vervolg met zijbaarden. De </w:t>
      </w:r>
      <w:r>
        <w:rPr>
          <w:iCs/>
          <w:lang w:val="nl-NL"/>
        </w:rPr>
        <w:t xml:space="preserve">Sesquialter begint op f en dateert uit 1970. het register staat op de </w:t>
      </w:r>
      <w:r>
        <w:rPr>
          <w:lang w:val="nl-NL"/>
        </w:rPr>
        <w:t>plaats van de oorspronkelijke Voix Celeste 8'. C-h van de Lieblich Gedekt 16' zijn van grenen, afgevoerd; vanaf c</w:t>
      </w:r>
      <w:r>
        <w:rPr>
          <w:vertAlign w:val="superscript"/>
          <w:lang w:val="nl-NL"/>
        </w:rPr>
        <w:t>1</w:t>
      </w:r>
      <w:r>
        <w:rPr>
          <w:lang w:val="nl-NL"/>
        </w:rPr>
        <w:t xml:space="preserve"> metaal, op de lade. De Principaal 4' heeft expressions voor C-fis</w:t>
      </w:r>
      <w:r>
        <w:rPr>
          <w:vertAlign w:val="superscript"/>
          <w:lang w:val="nl-NL"/>
        </w:rPr>
        <w:t>2</w:t>
      </w:r>
      <w:r>
        <w:rPr>
          <w:lang w:val="nl-NL"/>
        </w:rPr>
        <w:t xml:space="preserve"> de overige zijn op lengte afgesneden. De Quintadeen 8' is geheel origineel. De Flûte Traverse 4' is vanaf c</w:t>
      </w:r>
      <w:r>
        <w:rPr>
          <w:vertAlign w:val="superscript"/>
          <w:lang w:val="nl-NL"/>
        </w:rPr>
        <w:t>1</w:t>
      </w:r>
      <w:r>
        <w:rPr>
          <w:lang w:val="nl-NL"/>
        </w:rPr>
        <w:t xml:space="preserve"> overblazend (zonder bovenlabia) met zijbaarden. De Piccolo 2' is vanaf c overblazend. De doorslaande Clarinet 8' heeft zeer lange zinken stevels en corpora van spotted metal; C-H met intonatielapje.</w:t>
      </w:r>
    </w:p>
    <w:p>
      <w:pPr>
        <w:pStyle w:val="T1"/>
        <w:jc w:val="start"/>
        <w:rPr/>
      </w:pPr>
      <w:r>
        <w:rPr>
          <w:lang w:val="nl-NL"/>
        </w:rPr>
        <w:t>Het pijpwerk van het Ped staat opgesteld op een benedenlade (C-d) en een bovenlade (dis-d</w:t>
      </w:r>
      <w:r>
        <w:rPr>
          <w:vertAlign w:val="superscript"/>
          <w:lang w:val="nl-NL"/>
        </w:rPr>
        <w:t>1</w:t>
      </w:r>
      <w:r>
        <w:rPr>
          <w:lang w:val="nl-NL"/>
        </w:rPr>
        <w:t xml:space="preserve">). De Bazuin 16' heeft trechtervormige zinken bekers, de stevels zijn van spotted metal. Duitse koppen, lepels en tongen. De Contrabas 16' is van grenen (open). De Octaafbas 8' is van metaal (met expressions) en staat deels in het front. De Octaaf 4' is eveneens van metaal met expressions. De </w:t>
      </w:r>
      <w:r>
        <w:rPr>
          <w:iCs/>
          <w:lang w:val="nl-NL"/>
        </w:rPr>
        <w:t xml:space="preserve">Ruispijp (Verschueren) staat op de plaats van de oorspronkelijke </w:t>
      </w:r>
      <w:r>
        <w:rPr>
          <w:lang w:val="nl-NL"/>
        </w:rPr>
        <w:t>Violonbas 16'. De Subbas 16' (</w:t>
      </w:r>
      <w:r>
        <w:rPr>
          <w:iCs/>
          <w:lang w:val="nl-NL"/>
        </w:rPr>
        <w:t>Verschueren) is van g</w:t>
      </w:r>
      <w:r>
        <w:rPr>
          <w:lang w:val="nl-NL"/>
        </w:rPr>
        <w:t xml:space="preserve">renen. C-H van de </w:t>
      </w:r>
      <w:r>
        <w:rPr>
          <w:iCs/>
          <w:lang w:val="nl-NL"/>
        </w:rPr>
        <w:t xml:space="preserve">Gedekt 8' (1970) zijn van </w:t>
      </w:r>
      <w:r>
        <w:rPr>
          <w:lang w:val="nl-NL"/>
        </w:rPr>
        <w:t>mahonie, het vervolg is van metaal. Dit register staat op de plaats van de oorspronkelijke Violoncello 8'. De Majorbas 32' is in werkelijkheid een grenen Quintbas 10 2/3'.</w:t>
      </w:r>
    </w:p>
    <w:sectPr>
      <w:type w:val="nextPage"/>
      <w:pgSz w:w="11906" w:h="16838"/>
      <w:pgMar w:left="1417" w:right="566"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System">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lText">
    <w:name w:val="Normal Text"/>
    <w:qFormat/>
    <w:pPr>
      <w:widowControl w:val="false"/>
      <w:bidi w:val="0"/>
    </w:pPr>
    <w:rPr>
      <w:rFonts w:ascii="System" w:hAnsi="System" w:eastAsia="Times New Roman" w:cs="System"/>
      <w:color w:val="auto"/>
      <w:sz w:val="24"/>
      <w:szCs w:val="20"/>
      <w:lang w:val="nl-NL"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160</TotalTime>
  <Application>LibreOffice/7.2.1.2$MacOSX_X86_64 LibreOffice_project/87b77fad49947c1441b67c559c339af8f3517e22</Application>
  <AppVersion>15.0000</AppVersion>
  <Pages>4</Pages>
  <Words>853</Words>
  <Characters>4216</Characters>
  <CharactersWithSpaces>5017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2009-07-27T14:03:00Z</dcterms:created>
  <dc:creator>WS1</dc:creator>
  <dc:description/>
  <dc:language>en-US</dc:language>
  <cp:lastModifiedBy>NIvO</cp:lastModifiedBy>
  <dcterms:modified xsi:type="dcterms:W3CDTF">2009-09-08T13:56:00Z</dcterms:modified>
  <cp:revision>14</cp:revision>
  <dc:subject/>
  <dc:title>Zeeland / 1895</dc:title>
</cp:coreProperties>
</file>