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Uithuizen / 1908</w:t>
      </w:r>
    </w:p>
    <w:p>
      <w:pPr>
        <w:pStyle w:val="Heading2"/>
        <w:rPr>
          <w:i w:val="false"/>
          <w:i w:val="false"/>
          <w:iCs/>
        </w:rPr>
      </w:pPr>
      <w:r>
        <w:rPr>
          <w:i w:val="false"/>
          <w:iCs/>
        </w:rPr>
        <w:t>R.K. St-Jacobuskerk</w:t>
      </w:r>
    </w:p>
    <w:p>
      <w:pPr>
        <w:pStyle w:val="T1"/>
        <w:jc w:val="start"/>
        <w:rPr>
          <w:i/>
          <w:i/>
          <w:iCs/>
          <w:lang w:val="nl-NL"/>
        </w:rPr>
      </w:pPr>
      <w:r>
        <w:rPr>
          <w:i/>
          <w:iCs/>
          <w:lang w:val="nl-NL"/>
        </w:rPr>
      </w:r>
    </w:p>
    <w:p>
      <w:pPr>
        <w:pStyle w:val="T1"/>
        <w:jc w:val="start"/>
        <w:rPr>
          <w:i/>
          <w:i/>
          <w:iCs/>
          <w:lang w:val="nl-NL"/>
        </w:rPr>
      </w:pPr>
      <w:r>
        <w:rPr>
          <w:i/>
          <w:iCs/>
          <w:lang w:val="nl-NL"/>
        </w:rPr>
        <w:t>Driebeukige neogotische kruisbasiliek met ingebouwde toren, gebouwd in 1858-1861 naar ontwerp van J.F. Scheepers. Het priesterkoor werd in 1895 verbouwd. De kerk is in 1957-1958 ingrijpend gemoderniseerd waarbij de pijlers werden vervangen door ijzeren kolommen. Gebrandschilderde ramen door H. Geuer (1870) en F. Nicolas (1907). Inwendig een zandstenen Golgotha-tafereel (ca 1550) en kruiswegstaties door E.H. de Fernelmont.</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met een eenvoudig kasontwerp dat bestaat uit twee elkaar spiegelende delen. De kassen, geplaatst aan beide zijden van een nis met daarin een groot spits venster, harmoniëren fraai met de architectuur. Aan de kerkzijde zien we aan de buitenzijde van beide kassen een pijpveld op een verhoogde pijpstok, aan de bovenzijde gedecoreerd met een tootboog en zwikken. Op de hoeken van de beide kasdelen zien we velden waarvan de pijpvoeten schuin oplopen vanuit het midden, evenwijdig met de labiumlijn. Ook deze hoekvelden zijn gedecoreerd met een tootboog, waarvan de helft te zien is aan de kerkzijde en de andere helft onzichtbaar in de lengterichting van de kerk. Om het hoogteverschil tussen hoekvelden en zijvelden te overbruggen is lijstwerk in de vorm van een rij bogen aangebracht, in harmonie met het lijstwerk van de onderkassen. Het orgel heeft niet zijn oorspronkelijke kleur, en is wellicht opnieuw geschilderd ten tijde van de ingrijpende kerkrestauratie in de jaren 1950.</w:t>
      </w:r>
    </w:p>
    <w:p>
      <w:pPr>
        <w:pStyle w:val="T2Kunst"/>
        <w:jc w:val="start"/>
        <w:rPr>
          <w:rFonts w:ascii="CG Times;Times New Roman" w:hAnsi="CG Times;Times New Roman" w:cs="CG Times;Times New Roman"/>
          <w:szCs w:val="24"/>
          <w:lang w:val="nl-NL"/>
        </w:rPr>
      </w:pPr>
      <w:r>
        <w:rPr>
          <w:rFonts w:cs="CG Times;Times New Roman" w:ascii="CG Times;Times New Roman" w:hAnsi="CG Times;Times New Roman"/>
          <w:szCs w:val="24"/>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1 Hunsingo</w:t>
      </w:r>
      <w:r>
        <w:rPr>
          <w:lang w:val="nl-NL"/>
        </w:rPr>
        <w:t>, Groningen (1994), 100-101.</w:t>
      </w:r>
    </w:p>
    <w:p>
      <w:pPr>
        <w:pStyle w:val="T3Lit"/>
        <w:jc w:val="start"/>
        <w:rPr>
          <w:lang w:val="nl-NL"/>
        </w:rPr>
      </w:pPr>
      <w:r>
        <w:rPr>
          <w:lang w:val="nl-NL"/>
        </w:rPr>
      </w:r>
    </w:p>
    <w:p>
      <w:pPr>
        <w:pStyle w:val="T3Lit"/>
        <w:jc w:val="start"/>
        <w:rPr>
          <w:lang w:val="nl-NL"/>
        </w:rPr>
      </w:pPr>
      <w:r>
        <w:rPr>
          <w:lang w:val="nl-NL"/>
        </w:rPr>
        <w:t>Orgelnummer 1899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jc w:val="start"/>
        <w:rPr>
          <w:lang w:val="nl-NL"/>
        </w:rPr>
      </w:pPr>
      <w:r>
        <w:rPr>
          <w:lang w:val="nl-NL"/>
        </w:rPr>
      </w:r>
    </w:p>
    <w:p>
      <w:pPr>
        <w:pStyle w:val="T1"/>
        <w:jc w:val="start"/>
        <w:rPr>
          <w:lang w:val="nl-NL"/>
        </w:rPr>
      </w:pPr>
      <w:r>
        <w:rPr>
          <w:lang w:val="nl-NL"/>
        </w:rPr>
        <w:t>Jos. Vermeulen 1977</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frontpijpen gepolijst</w:t>
      </w:r>
    </w:p>
    <w:p>
      <w:pPr>
        <w:pStyle w:val="T1"/>
        <w:numPr>
          <w:ilvl w:val="0"/>
          <w:numId w:val="2"/>
        </w:numPr>
        <w:jc w:val="start"/>
        <w:rPr>
          <w:lang w:val="nl-NL"/>
        </w:rPr>
      </w:pPr>
      <w:r>
        <w:rPr>
          <w:lang w:val="nl-NL"/>
        </w:rPr>
        <w:t>membranen vervangen</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Aeoline 8' $ Quint 2 2/3'</w:t>
      </w:r>
    </w:p>
    <w:p>
      <w:pPr>
        <w:pStyle w:val="T1"/>
        <w:ind w:start="708" w:hanging="0"/>
        <w:jc w:val="start"/>
        <w:rPr>
          <w:lang w:val="nl-NL"/>
        </w:rPr>
      </w:pPr>
      <w:r>
        <w:rPr>
          <w:lang w:val="nl-NL"/>
        </w:rPr>
        <w:t>NW Viola 8' $ Roerfluit 4', Dolce 8' $ Woudfluit 2'</w:t>
      </w:r>
    </w:p>
    <w:p>
      <w:pPr>
        <w:pStyle w:val="T1"/>
        <w:numPr>
          <w:ilvl w:val="0"/>
          <w:numId w:val="3"/>
        </w:numPr>
        <w:jc w:val="start"/>
        <w:rPr>
          <w:lang w:val="nl-NL"/>
        </w:rPr>
      </w:pPr>
      <w:r>
        <w:rPr>
          <w:lang w:val="nl-NL"/>
        </w:rPr>
        <w:t>nieuwe tongen Trompet 8'</w:t>
      </w:r>
    </w:p>
    <w:p>
      <w:pPr>
        <w:pStyle w:val="T1"/>
        <w:numPr>
          <w:ilvl w:val="0"/>
          <w:numId w:val="3"/>
        </w:numPr>
        <w:jc w:val="start"/>
        <w:rPr>
          <w:lang w:val="nl-NL"/>
        </w:rPr>
      </w:pPr>
      <w:r>
        <w:rPr>
          <w:lang w:val="nl-NL"/>
        </w:rPr>
        <w:t>herintonatie</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4"/>
        </w:numPr>
        <w:jc w:val="start"/>
        <w:rPr>
          <w:lang w:val="nl-NL"/>
        </w:rPr>
      </w:pPr>
      <w:r>
        <w:rPr>
          <w:lang w:val="nl-NL"/>
        </w:rPr>
        <w:t>kassen opnieuw geschilderd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330"/>
        <w:gridCol w:w="720"/>
        <w:gridCol w:w="1620"/>
        <w:gridCol w:w="540"/>
        <w:gridCol w:w="108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Fl. Harm.</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Doublet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1-2 st.</w:t>
            </w:r>
          </w:p>
          <w:p>
            <w:pPr>
              <w:pStyle w:val="T4dispositie"/>
              <w:rPr>
                <w:lang w:val="nl-NL"/>
              </w:rPr>
            </w:pPr>
            <w:r>
              <w:rPr>
                <w:lang w:val="nl-NL"/>
              </w:rPr>
              <w:t>8'</w:t>
            </w:r>
          </w:p>
        </w:tc>
        <w:tc>
          <w:tcPr>
            <w:tcW w:w="1620" w:type="dxa"/>
            <w:tcBorders/>
          </w:tcPr>
          <w:p>
            <w:pPr>
              <w:pStyle w:val="T4dispositie"/>
              <w:rPr>
                <w:i/>
                <w:i/>
                <w:lang w:val="nl-NL"/>
              </w:rPr>
            </w:pPr>
            <w:r>
              <w:rPr>
                <w:i/>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Fluit</w:t>
            </w:r>
          </w:p>
          <w:p>
            <w:pPr>
              <w:pStyle w:val="T4dispositie"/>
              <w:rPr>
                <w:lang w:val="nl-NL"/>
              </w:rPr>
            </w:pPr>
            <w:r>
              <w:rPr>
                <w:lang w:val="nl-NL"/>
              </w:rPr>
              <w:t>Melofoon</w:t>
            </w:r>
          </w:p>
          <w:p>
            <w:pPr>
              <w:pStyle w:val="T4dispositie"/>
              <w:rPr>
                <w:lang w:val="nl-NL"/>
              </w:rPr>
            </w:pPr>
            <w:r>
              <w:rPr>
                <w:lang w:val="nl-NL"/>
              </w:rPr>
              <w:t>Woudfluit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108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 klav. koppel I-Ped, koppel II-Ped</w:t>
      </w:r>
    </w:p>
    <w:p>
      <w:pPr>
        <w:pStyle w:val="Normal"/>
        <w:rPr>
          <w:rFonts w:ascii="Times New Roman" w:hAnsi="Times New Roman" w:cs="Times New Roman"/>
          <w:szCs w:val="24"/>
        </w:rPr>
      </w:pPr>
      <w:r>
        <w:rPr>
          <w:rFonts w:cs="Times New Roman" w:ascii="Times New Roman" w:hAnsi="Times New Roman"/>
          <w:szCs w:val="24"/>
        </w:rPr>
        <w:t>vaste combinaties P MF T O</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2407" w:type="dxa"/>
        <w:jc w:val="start"/>
        <w:tblInd w:w="-108" w:type="dxa"/>
        <w:tblLayout w:type="fixed"/>
        <w:tblCellMar>
          <w:top w:w="0" w:type="dxa"/>
          <w:start w:w="108" w:type="dxa"/>
          <w:bottom w:w="0" w:type="dxa"/>
          <w:end w:w="108" w:type="dxa"/>
        </w:tblCellMar>
      </w:tblPr>
      <w:tblGrid>
        <w:gridCol w:w="1110"/>
        <w:gridCol w:w="485"/>
        <w:gridCol w:w="812"/>
      </w:tblGrid>
      <w:tr>
        <w:trPr/>
        <w:tc>
          <w:tcPr>
            <w:tcW w:w="1110" w:type="dxa"/>
            <w:tcBorders/>
          </w:tcPr>
          <w:p>
            <w:pPr>
              <w:pStyle w:val="Normal"/>
              <w:rPr>
                <w:rFonts w:ascii="Times New Roman" w:hAnsi="Times New Roman" w:cs="Times New Roman"/>
                <w:szCs w:val="24"/>
              </w:rPr>
            </w:pPr>
            <w:r>
              <w:rPr>
                <w:rFonts w:cs="Times New Roman" w:ascii="Times New Roman" w:hAnsi="Times New Roman"/>
                <w:szCs w:val="24"/>
              </w:rPr>
              <w:t>Doublet</w:t>
            </w:r>
          </w:p>
        </w:tc>
        <w:tc>
          <w:tcPr>
            <w:tcW w:w="485" w:type="dxa"/>
            <w:tcBorders/>
          </w:tcPr>
          <w:p>
            <w:pPr>
              <w:pStyle w:val="T4dispositie"/>
              <w:rPr>
                <w:lang w:val="nl-NL"/>
              </w:rPr>
            </w:pPr>
            <w:r>
              <w:rPr>
                <w:lang w:val="nl-NL"/>
              </w:rPr>
              <w:t>C</w:t>
            </w:r>
          </w:p>
          <w:p>
            <w:pPr>
              <w:pStyle w:val="T4dispositie"/>
              <w:rPr>
                <w:lang w:val="nl-NL"/>
              </w:rPr>
            </w:pPr>
            <w:r>
              <w:rPr>
                <w:lang w:val="nl-NL"/>
              </w:rPr>
              <w:t>2</w:t>
            </w:r>
          </w:p>
        </w:tc>
        <w:tc>
          <w:tcPr>
            <w:tcW w:w="812"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balanstrapinstallatie (1908) en twee regulateurs</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dwars naast de linker 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heeft kegelladen met pneumatische tractuur.</w:t>
      </w:r>
    </w:p>
    <w:p>
      <w:pPr>
        <w:pStyle w:val="T1"/>
        <w:jc w:val="start"/>
        <w:rPr>
          <w:lang w:val="nl-NL"/>
        </w:rPr>
      </w:pPr>
      <w:r>
        <w:rPr>
          <w:lang w:val="nl-NL"/>
        </w:rPr>
        <w:t>In de linkerkas bevinden zich de windladen en het pijpwerk van het HW; in de rechterkas de windladen van en het pijpwerk van NW en Ped. In beide kassen ligt de lade voor C-h boven, en de lade voor de discant onder.</w:t>
      </w:r>
    </w:p>
    <w:p>
      <w:pPr>
        <w:pStyle w:val="T1"/>
        <w:jc w:val="start"/>
        <w:rPr/>
      </w:pPr>
      <w:r>
        <w:rPr>
          <w:lang w:val="nl-NL"/>
        </w:rPr>
        <w:t xml:space="preserve">C-cis van de </w:t>
      </w:r>
      <w:r>
        <w:rPr>
          <w:spacing w:val="-2"/>
          <w:szCs w:val="22"/>
          <w:lang w:val="nl-NL"/>
        </w:rPr>
        <w:t>Prestant 8' staan in het front, d-a zijn afgevoerd, b-f</w:t>
      </w:r>
      <w:r>
        <w:rPr>
          <w:spacing w:val="-2"/>
          <w:szCs w:val="22"/>
          <w:vertAlign w:val="superscript"/>
          <w:lang w:val="nl-NL"/>
        </w:rPr>
        <w:t>3</w:t>
      </w:r>
      <w:r>
        <w:rPr>
          <w:spacing w:val="-2"/>
          <w:szCs w:val="22"/>
          <w:lang w:val="nl-NL"/>
        </w:rPr>
        <w:t xml:space="preserve"> staan op de lade; alle pijpen met expressions. De Bourdon 16' is van C-d</w:t>
      </w:r>
      <w:r>
        <w:rPr>
          <w:spacing w:val="-2"/>
          <w:szCs w:val="22"/>
          <w:vertAlign w:val="superscript"/>
          <w:lang w:val="nl-NL"/>
        </w:rPr>
        <w:t>1</w:t>
      </w:r>
      <w:r>
        <w:rPr>
          <w:spacing w:val="-2"/>
          <w:szCs w:val="22"/>
          <w:lang w:val="nl-NL"/>
        </w:rPr>
        <w:t xml:space="preserve"> gecombineerd met de Subbas 16</w:t>
      </w:r>
      <w:r>
        <w:rPr>
          <w:lang w:val="nl-NL"/>
        </w:rPr>
        <w:t>'</w:t>
      </w:r>
      <w:r>
        <w:rPr>
          <w:spacing w:val="-2"/>
          <w:szCs w:val="22"/>
          <w:lang w:val="nl-NL"/>
        </w:rPr>
        <w:t xml:space="preserve"> (naaldhout), het metalen pijpwerk staat op de discantlade van het HW. De Fl. Harm. 8' is van C-f gedekt; fis-h zijn open, het vervolg is overblazend. De Quint 3' is in 1977 geplaatst op de plaats van de voormalige Aeoline 8'. De Octaaf 4</w:t>
      </w:r>
      <w:r>
        <w:rPr>
          <w:lang w:val="nl-NL"/>
        </w:rPr>
        <w:t>'</w:t>
      </w:r>
      <w:r>
        <w:rPr>
          <w:spacing w:val="-2"/>
          <w:szCs w:val="22"/>
          <w:lang w:val="nl-NL"/>
        </w:rPr>
        <w:t xml:space="preserve"> is voorzien van expressions.</w:t>
      </w:r>
    </w:p>
    <w:p>
      <w:pPr>
        <w:pStyle w:val="T1"/>
        <w:jc w:val="start"/>
        <w:rPr/>
      </w:pPr>
      <w:r>
        <w:rPr>
          <w:spacing w:val="-2"/>
          <w:szCs w:val="22"/>
          <w:lang w:val="nl-NL"/>
        </w:rPr>
        <w:t>De Salicionaal 8' van het NW staat van C-cis in het front, het vervolg staat op de lade; het hoogste octaaf bestaat uit pijpwerk van de firma Devos. De Fluit 4' is in 1977 geplaatst op de plaatst van de Viola di Gamba 8'. C-H van de Holpijp 8' zijn van naaldhout, het vervolg is van metaal; het hoogste octaaf is pijpwerk van de firma Devos. De Woudfluit 2' is in 1977 geleverd op de plaats van de Dolce 8'. De Melofoon 4' is geheel van metaal met expressions; c</w:t>
      </w:r>
      <w:r>
        <w:rPr>
          <w:spacing w:val="-2"/>
          <w:szCs w:val="22"/>
          <w:vertAlign w:val="superscript"/>
          <w:lang w:val="nl-NL"/>
        </w:rPr>
        <w:t>2</w:t>
      </w:r>
      <w:r>
        <w:rPr>
          <w:spacing w:val="-2"/>
          <w:szCs w:val="22"/>
          <w:lang w:val="nl-NL"/>
        </w:rPr>
        <w:t>-f</w:t>
      </w:r>
      <w:r>
        <w:rPr>
          <w:spacing w:val="-2"/>
          <w:szCs w:val="22"/>
          <w:vertAlign w:val="superscript"/>
          <w:lang w:val="nl-NL"/>
        </w:rPr>
        <w:t>3</w:t>
      </w:r>
      <w:r>
        <w:rPr>
          <w:spacing w:val="-2"/>
          <w:szCs w:val="22"/>
          <w:lang w:val="nl-NL"/>
        </w:rPr>
        <w:t xml:space="preserve"> zijn geleverd door Devos.</w:t>
      </w:r>
    </w:p>
    <w:p>
      <w:pPr>
        <w:pStyle w:val="T1"/>
        <w:jc w:val="start"/>
        <w:rPr>
          <w:lang w:val="nl-NL"/>
        </w:rPr>
      </w:pPr>
      <w:r>
        <w:rPr>
          <w:lang w:val="nl-NL"/>
        </w:rPr>
        <w:t>Een aantal pijpen, mogelijk het groot octaaf van de Viola di Gamba 8' (zink) wordt bewaard in een biechtstoel.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2008-02-28T15:52:00Z</dcterms:created>
  <dc:creator>WS1</dc:creator>
  <dc:description/>
  <dc:language>en-US</dc:language>
  <cp:lastModifiedBy>Hans</cp:lastModifiedBy>
  <dcterms:modified xsi:type="dcterms:W3CDTF">2009-10-01T21:33:00Z</dcterms:modified>
  <cp:revision>13</cp:revision>
  <dc:subject/>
  <dc:title>Heumen / ca 1860</dc:title>
</cp:coreProperties>
</file>