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Wassenaar / ca 1905</w:t>
      </w:r>
    </w:p>
    <w:p>
      <w:pPr>
        <w:pStyle w:val="Heading2"/>
        <w:rPr>
          <w:i w:val="false"/>
          <w:i w:val="false"/>
          <w:iCs/>
        </w:rPr>
      </w:pPr>
      <w:r>
        <w:rPr>
          <w:i w:val="false"/>
          <w:iCs/>
        </w:rPr>
        <w:t>Dorpskerk</w:t>
      </w:r>
    </w:p>
    <w:p>
      <w:pPr>
        <w:pStyle w:val="T1"/>
        <w:jc w:val="start"/>
        <w:rPr>
          <w:i/>
          <w:i/>
          <w:iCs/>
          <w:lang w:val="nl-NL"/>
        </w:rPr>
      </w:pPr>
      <w:r>
        <w:rPr>
          <w:i/>
          <w:iCs/>
          <w:lang w:val="nl-NL"/>
        </w:rPr>
      </w:r>
    </w:p>
    <w:p>
      <w:pPr>
        <w:pStyle w:val="T1"/>
        <w:jc w:val="start"/>
        <w:rPr>
          <w:i/>
          <w:i/>
          <w:iCs/>
          <w:lang w:val="nl-NL"/>
        </w:rPr>
      </w:pPr>
      <w:r>
        <w:rPr>
          <w:i/>
          <w:iCs/>
          <w:lang w:val="nl-NL"/>
        </w:rPr>
        <w:t>Laatgotische tweebeukige kerk  met 12e-eeuwse toren en enig romaans muurwerk. De kerk werd in 1573 verwoest, waarna alleen het schip werd hersteld. Bij een restauratie in 1938-1940 werd een eveneens verwoeste noorder dwarsarm herbouwd. Inwendig houten gewelven. Preekstoel en doophek uit 1768. Hoofdorgel van Albertus Anthoni Hinsz (1769) met rugwerk van Lambertus van Dam (1792).</w:t>
      </w:r>
    </w:p>
    <w:p>
      <w:pPr>
        <w:pStyle w:val="T1"/>
        <w:jc w:val="start"/>
        <w:rPr>
          <w:i/>
          <w:i/>
          <w:iCs/>
          <w:lang w:val="nl-NL"/>
        </w:rPr>
      </w:pPr>
      <w:r>
        <w:rPr>
          <w:i/>
          <w:iCs/>
          <w:lang w:val="nl-NL"/>
        </w:rPr>
      </w:r>
    </w:p>
    <w:p>
      <w:pPr>
        <w:pStyle w:val="T1"/>
        <w:jc w:val="start"/>
        <w:rPr>
          <w:lang w:val="nl-NL"/>
        </w:rPr>
      </w:pPr>
      <w:r>
        <w:rPr>
          <w:lang w:val="nl-NL"/>
        </w:rPr>
        <w:t>Kas: ca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ontwerp waarbij kas, speeltafel en orgelbank uit hetzelfde hout zijn gesneden: notenhout. </w:t>
      </w:r>
      <w:r>
        <w:rPr>
          <w:lang w:val="nl-NL"/>
        </w:rPr>
        <w:t xml:space="preserve">Het geheel is gedecoreerd in de stijl van de Régence. De meeste hoeken zijn bij deze stijl afgerond, en versieringen bestaan voor een groot deel uit voluten die worden gecombineerd met bladmotieven. </w:t>
      </w:r>
      <w:r>
        <w:rPr/>
        <w:t xml:space="preserve">Er is sprake van een vijfdelige kas, waarbij de buitenste pijpvelden en het middelste pijpveld erg smal zijn, met daartussen brede velden. De smalle velden zijn aan de bovenzijde gedecoreerd met twee aan elkaar gespiegelde C-voluten, daaromheen rijkelijk versierd met blad- en plantmotieven. Een vergelijkbare vorm is te zien bij het middelste pijpveld, maar daar zijn de voluten vervangen door bladeren. De tussenvelden zijn onderzijde gedecoreerd met twee S-voluten, aan de bovenzijde met een dubbele C-voluut. Daar weer boven bladmotieven en wederom een S-voluut. Mooi is bij dit ontwerp hoe de speeltafel deel uitmaakt van het geheel: de drie pijpvelden in het midden zijn bewust hoog gehouden en de buitenste velden laag. </w:t>
      </w:r>
      <w:r>
        <w:rPr>
          <w:lang w:val="nl-NL"/>
        </w:rPr>
        <w:t>De onderkas is fraai ingelegd, datzelfde geldt voor de speeltafel en de zijkant van de kas.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lang w:val="nl-NL"/>
        </w:rPr>
      </w:pPr>
      <w:r>
        <w:rPr>
          <w:lang w:val="nl-NL"/>
        </w:rPr>
        <w:t>De Orgelkrant, 4/3 (1999), 8.</w:t>
      </w:r>
    </w:p>
    <w:p>
      <w:pPr>
        <w:pStyle w:val="T3Lit"/>
        <w:rPr>
          <w:lang w:val="nl-NL"/>
        </w:rPr>
      </w:pPr>
      <w:r>
        <w:rPr>
          <w:lang w:val="nl-NL"/>
        </w:rPr>
      </w:r>
    </w:p>
    <w:p>
      <w:pPr>
        <w:pStyle w:val="T3Lit"/>
        <w:rPr>
          <w:lang w:val="nl-NL"/>
        </w:rPr>
      </w:pPr>
      <w:r>
        <w:rPr>
          <w:lang w:val="nl-NL"/>
        </w:rPr>
        <w:t>Monumentnummer 38380</w:t>
      </w:r>
    </w:p>
    <w:p>
      <w:pPr>
        <w:pStyle w:val="T3Lit"/>
        <w:rPr>
          <w:lang w:val="nl-NL"/>
        </w:rPr>
      </w:pPr>
      <w:r>
        <w:rPr>
          <w:lang w:val="nl-NL"/>
        </w:rPr>
        <w:t>Orgelnummer 1620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Ch. Mutin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(particulier bezit)</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1936</w:t>
      </w:r>
    </w:p>
    <w:p>
      <w:pPr>
        <w:pStyle w:val="Normal"/>
        <w:numPr>
          <w:ilvl w:val="0"/>
          <w:numId w:val="2"/>
        </w:numPr>
        <w:rPr>
          <w:rFonts w:ascii="Times New Roman" w:hAnsi="Times New Roman" w:cs="Times New Roman"/>
          <w:szCs w:val="24"/>
        </w:rPr>
      </w:pPr>
      <w:r>
        <w:rPr>
          <w:rFonts w:cs="Times New Roman" w:ascii="Times New Roman" w:hAnsi="Times New Roman"/>
          <w:szCs w:val="24"/>
        </w:rPr>
        <w:t>orgel geplaatst te Wassenaar, kapel Ursulakliniek</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1996</w:t>
      </w:r>
    </w:p>
    <w:p>
      <w:pPr>
        <w:pStyle w:val="Normal"/>
        <w:numPr>
          <w:ilvl w:val="0"/>
          <w:numId w:val="2"/>
        </w:numPr>
        <w:rPr>
          <w:rFonts w:ascii="Times New Roman" w:hAnsi="Times New Roman" w:cs="Times New Roman"/>
          <w:szCs w:val="24"/>
        </w:rPr>
      </w:pPr>
      <w:r>
        <w:rPr>
          <w:rFonts w:cs="Times New Roman" w:ascii="Times New Roman" w:hAnsi="Times New Roman"/>
          <w:szCs w:val="24"/>
        </w:rPr>
        <w:t>kapel gesloopt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Flentrop Orgelbouw 1998</w:t>
      </w:r>
    </w:p>
    <w:p>
      <w:pPr>
        <w:pStyle w:val="Normal"/>
        <w:numPr>
          <w:ilvl w:val="0"/>
          <w:numId w:val="2"/>
        </w:numPr>
        <w:rPr>
          <w:rFonts w:ascii="Times New Roman" w:hAnsi="Times New Roman" w:cs="Times New Roman"/>
          <w:szCs w:val="24"/>
        </w:rPr>
      </w:pPr>
      <w:r>
        <w:rPr>
          <w:rFonts w:cs="Times New Roman" w:ascii="Times New Roman" w:hAnsi="Times New Roman"/>
          <w:szCs w:val="24"/>
        </w:rPr>
        <w:t>orgel gerestaureerd en geplaatst te Wassenaar, Dorpskerk</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récit, pédale</w:t>
      </w:r>
    </w:p>
    <w:p>
      <w:pPr>
        <w:pStyle w:val="T1"/>
        <w:jc w:val="start"/>
        <w:rPr>
          <w:lang w:val="nl-NL"/>
        </w:rPr>
      </w:pPr>
      <w:r>
        <w:rPr>
          <w:lang w:val="nl-NL"/>
        </w:rPr>
      </w:r>
    </w:p>
    <w:p>
      <w:pPr>
        <w:pStyle w:val="T1"/>
        <w:jc w:val="start"/>
        <w:rPr/>
      </w:pPr>
      <w:r>
        <w:rPr/>
        <w:t>Dispositie</w:t>
      </w:r>
    </w:p>
    <w:tbl>
      <w:tblPr>
        <w:tblW w:w="7733" w:type="dxa"/>
        <w:jc w:val="start"/>
        <w:tblInd w:w="-70" w:type="dxa"/>
        <w:tblLayout w:type="fixed"/>
        <w:tblCellMar>
          <w:top w:w="0" w:type="dxa"/>
          <w:start w:w="70" w:type="dxa"/>
          <w:bottom w:w="0" w:type="dxa"/>
          <w:end w:w="70" w:type="dxa"/>
        </w:tblCellMar>
      </w:tblPr>
      <w:tblGrid>
        <w:gridCol w:w="2410"/>
        <w:gridCol w:w="540"/>
        <w:gridCol w:w="1927"/>
        <w:gridCol w:w="718"/>
        <w:gridCol w:w="1460"/>
        <w:gridCol w:w="678"/>
      </w:tblGrid>
      <w:tr>
        <w:trPr/>
        <w:tc>
          <w:tcPr>
            <w:tcW w:w="2410" w:type="dxa"/>
            <w:tcBorders/>
          </w:tcPr>
          <w:p>
            <w:pPr>
              <w:pStyle w:val="T4dispositie"/>
              <w:jc w:val="start"/>
              <w:rPr>
                <w:i/>
                <w:i/>
                <w:iCs/>
                <w:lang w:val="nl-NL"/>
              </w:rPr>
            </w:pPr>
            <w:r>
              <w:rPr>
                <w:i/>
                <w:iCs/>
                <w:lang w:val="nl-NL"/>
              </w:rPr>
              <w:t>Grand Orgue (I in zwelkast)</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Flûte Harmon.</w:t>
            </w:r>
          </w:p>
          <w:p>
            <w:pPr>
              <w:pStyle w:val="T4dispositie"/>
              <w:jc w:val="start"/>
              <w:rPr>
                <w:lang w:val="nl-NL"/>
              </w:rPr>
            </w:pPr>
            <w:r>
              <w:rPr>
                <w:lang w:val="nl-NL"/>
              </w:rPr>
              <w:t>Prestant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927" w:type="dxa"/>
            <w:tcBorders/>
          </w:tcPr>
          <w:p>
            <w:pPr>
              <w:pStyle w:val="T4dispositie"/>
              <w:jc w:val="start"/>
              <w:rPr>
                <w:i/>
                <w:i/>
                <w:iCs/>
                <w:lang w:val="nl-NL"/>
              </w:rPr>
            </w:pPr>
            <w:r>
              <w:rPr>
                <w:i/>
                <w:iCs/>
                <w:lang w:val="nl-NL"/>
              </w:rPr>
              <w:t>Récit (II in zwelkast)</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Cor de Nuit</w:t>
            </w:r>
          </w:p>
          <w:p>
            <w:pPr>
              <w:pStyle w:val="T4dispositie"/>
              <w:jc w:val="start"/>
              <w:rPr>
                <w:lang w:val="en-GB"/>
              </w:rPr>
            </w:pPr>
            <w:r>
              <w:rPr>
                <w:lang w:val="en-GB"/>
              </w:rPr>
              <w:t>Dulciana</w:t>
            </w:r>
          </w:p>
          <w:p>
            <w:pPr>
              <w:pStyle w:val="T4dispositie"/>
              <w:jc w:val="start"/>
              <w:rPr>
                <w:lang w:val="en-GB"/>
              </w:rPr>
            </w:pPr>
            <w:r>
              <w:rPr>
                <w:lang w:val="en-GB"/>
              </w:rPr>
              <w:t>Eoline</w:t>
            </w:r>
          </w:p>
          <w:p>
            <w:pPr>
              <w:pStyle w:val="T4dispositie"/>
              <w:jc w:val="start"/>
              <w:rPr>
                <w:lang w:val="en-GB"/>
              </w:rPr>
            </w:pPr>
            <w:r>
              <w:rPr>
                <w:lang w:val="en-GB"/>
              </w:rPr>
              <w:t>Flûte douce</w:t>
            </w:r>
          </w:p>
          <w:p>
            <w:pPr>
              <w:pStyle w:val="T4dispositie"/>
              <w:jc w:val="start"/>
              <w:rPr>
                <w:lang w:val="en-GB"/>
              </w:rPr>
            </w:pPr>
            <w:r>
              <w:rPr>
                <w:lang w:val="en-GB"/>
              </w:rPr>
              <w:t>*Nasard</w:t>
            </w:r>
          </w:p>
          <w:p>
            <w:pPr>
              <w:pStyle w:val="T4dispositie"/>
              <w:jc w:val="start"/>
              <w:rPr>
                <w:lang w:val="fr-FR"/>
              </w:rPr>
            </w:pPr>
            <w:r>
              <w:rPr>
                <w:lang w:val="fr-FR"/>
              </w:rPr>
              <w:t>*Plein Jeu</w:t>
            </w:r>
          </w:p>
          <w:p>
            <w:pPr>
              <w:pStyle w:val="T4dispositie"/>
              <w:jc w:val="start"/>
              <w:rPr>
                <w:lang w:val="fr-FR"/>
              </w:rPr>
            </w:pPr>
            <w:r>
              <w:rPr>
                <w:lang w:val="fr-FR"/>
              </w:rPr>
              <w:t>*Basson</w:t>
            </w:r>
          </w:p>
        </w:tc>
        <w:tc>
          <w:tcPr>
            <w:tcW w:w="718"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3 r.</w:t>
            </w:r>
          </w:p>
          <w:p>
            <w:pPr>
              <w:pStyle w:val="T4dispositie"/>
              <w:jc w:val="start"/>
              <w:rPr>
                <w:lang w:val="nl-NL"/>
              </w:rPr>
            </w:pPr>
            <w:r>
              <w:rPr>
                <w:lang w:val="nl-NL"/>
              </w:rPr>
              <w:t>8'</w:t>
            </w:r>
          </w:p>
        </w:tc>
        <w:tc>
          <w:tcPr>
            <w:tcW w:w="1460" w:type="dxa"/>
            <w:tcBorders/>
          </w:tcPr>
          <w:p>
            <w:pPr>
              <w:pStyle w:val="T4dispositie"/>
              <w:jc w:val="start"/>
              <w:rPr>
                <w:i/>
                <w:i/>
                <w:iCs/>
                <w:lang w:val="nl-NL"/>
              </w:rPr>
            </w:pPr>
            <w:r>
              <w:rPr>
                <w:i/>
                <w:iCs/>
                <w:lang w:val="nl-NL"/>
              </w:rPr>
              <w:t>Pédale</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Soubasse</w:t>
            </w:r>
          </w:p>
        </w:tc>
        <w:tc>
          <w:tcPr>
            <w:tcW w:w="67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4dispositie"/>
        <w:rPr/>
      </w:pPr>
      <w:r>
        <w:rPr/>
      </w:r>
    </w:p>
    <w:p>
      <w:pPr>
        <w:pStyle w:val="T4dispositie"/>
        <w:rPr/>
      </w:pPr>
      <w:r>
        <w:rPr/>
        <w:t>* jeux de combinaison</w:t>
      </w:r>
    </w:p>
    <w:p>
      <w:pPr>
        <w:pStyle w:val="T4dispositie"/>
        <w:rPr/>
      </w:pPr>
      <w:r>
        <w:rPr/>
      </w:r>
    </w:p>
    <w:p>
      <w:pPr>
        <w:pStyle w:val="T1"/>
        <w:rPr>
          <w:szCs w:val="24"/>
        </w:rPr>
      </w:pPr>
      <w:r>
        <w:rPr/>
        <w:t>Werktuiglijke registers</w:t>
      </w:r>
    </w:p>
    <w:p>
      <w:pPr>
        <w:pStyle w:val="T1"/>
        <w:rPr>
          <w:lang w:val="fr-FR"/>
        </w:rPr>
      </w:pPr>
      <w:r>
        <w:rPr>
          <w:lang w:val="fr-FR"/>
        </w:rPr>
        <w:t xml:space="preserve">Soubasse </w:t>
      </w:r>
    </w:p>
    <w:p>
      <w:pPr>
        <w:pStyle w:val="T1"/>
        <w:rPr>
          <w:lang w:val="fr-FR"/>
        </w:rPr>
      </w:pPr>
      <w:r>
        <w:rPr>
          <w:lang w:val="fr-FR"/>
        </w:rPr>
        <w:t xml:space="preserve">Tirasses G.O, Recit </w:t>
      </w:r>
    </w:p>
    <w:p>
      <w:pPr>
        <w:pStyle w:val="T1"/>
        <w:rPr>
          <w:lang w:val="fr-FR"/>
        </w:rPr>
      </w:pPr>
      <w:r>
        <w:rPr>
          <w:lang w:val="fr-FR"/>
        </w:rPr>
        <w:t>Montre</w:t>
      </w:r>
    </w:p>
    <w:p>
      <w:pPr>
        <w:pStyle w:val="T1"/>
        <w:rPr>
          <w:lang w:val="fr-FR"/>
        </w:rPr>
      </w:pPr>
      <w:r>
        <w:rPr>
          <w:lang w:val="fr-FR"/>
        </w:rPr>
        <w:t>Expressions G.O, Recit</w:t>
      </w:r>
    </w:p>
    <w:p>
      <w:pPr>
        <w:pStyle w:val="T1"/>
        <w:rPr>
          <w:lang w:val="fr-FR"/>
        </w:rPr>
      </w:pPr>
      <w:r>
        <w:rPr>
          <w:lang w:val="fr-FR"/>
        </w:rPr>
        <w:t>Comb. Recit</w:t>
      </w:r>
    </w:p>
    <w:p>
      <w:pPr>
        <w:pStyle w:val="T1"/>
        <w:rPr/>
      </w:pPr>
      <w:r>
        <w:rPr>
          <w:lang w:val="fr-FR"/>
        </w:rPr>
        <w:t>Cop. au I</w:t>
      </w:r>
      <w:r>
        <w:rPr>
          <w:vertAlign w:val="superscript"/>
          <w:lang w:val="fr-FR"/>
        </w:rPr>
        <w:t>er</w:t>
      </w:r>
      <w:r>
        <w:rPr>
          <w:lang w:val="fr-FR"/>
        </w:rPr>
        <w:t xml:space="preserve"> Clav Rec. Uni, R.O.G.</w:t>
      </w:r>
    </w:p>
    <w:p>
      <w:pPr>
        <w:pStyle w:val="T1"/>
        <w:rPr>
          <w:szCs w:val="24"/>
          <w:lang w:val="fr-FR"/>
        </w:rPr>
      </w:pPr>
      <w:r>
        <w:rPr>
          <w:szCs w:val="24"/>
          <w:lang w:val="fr-FR"/>
        </w:rPr>
      </w:r>
    </w:p>
    <w:p>
      <w:pPr>
        <w:pStyle w:val="T1"/>
        <w:jc w:val="start"/>
        <w:rPr>
          <w:lang w:val="nl-NL"/>
        </w:rPr>
      </w:pPr>
      <w:r>
        <w:rPr>
          <w:lang w:val="nl-NL"/>
        </w:rPr>
        <w:t>Samenstelling vulstem</w:t>
      </w:r>
    </w:p>
    <w:tbl>
      <w:tblPr>
        <w:tblW w:w="3095" w:type="dxa"/>
        <w:jc w:val="start"/>
        <w:tblInd w:w="-70" w:type="dxa"/>
        <w:tblLayout w:type="fixed"/>
        <w:tblCellMar>
          <w:top w:w="0" w:type="dxa"/>
          <w:start w:w="70" w:type="dxa"/>
          <w:bottom w:w="0" w:type="dxa"/>
          <w:end w:w="70" w:type="dxa"/>
        </w:tblCellMar>
      </w:tblPr>
      <w:tblGrid>
        <w:gridCol w:w="1104"/>
        <w:gridCol w:w="555"/>
        <w:gridCol w:w="718"/>
        <w:gridCol w:w="718"/>
      </w:tblGrid>
      <w:tr>
        <w:trPr/>
        <w:tc>
          <w:tcPr>
            <w:tcW w:w="1104" w:type="dxa"/>
            <w:tcBorders/>
          </w:tcPr>
          <w:p>
            <w:pPr>
              <w:pStyle w:val="T1"/>
              <w:jc w:val="start"/>
              <w:rPr>
                <w:lang w:val="nl-NL"/>
              </w:rPr>
            </w:pPr>
            <w:r>
              <w:rPr>
                <w:lang w:val="nl-NL"/>
              </w:rPr>
              <w:t>Plein Jeu</w:t>
            </w:r>
          </w:p>
        </w:tc>
        <w:tc>
          <w:tcPr>
            <w:tcW w:w="555"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f</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f</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T1"/>
        <w:jc w:val="start"/>
        <w:rPr>
          <w:lang w:val="en-GB"/>
        </w:rPr>
      </w:pPr>
      <w:r>
        <w:rPr>
          <w:lang w:val="en-GB"/>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en beweegbare ladebodems</w:t>
      </w:r>
    </w:p>
    <w:p>
      <w:pPr>
        <w:pStyle w:val="T1"/>
        <w:jc w:val="start"/>
        <w:rPr>
          <w:lang w:val="nl-NL"/>
        </w:rPr>
      </w:pPr>
      <w:r>
        <w:rPr>
          <w:lang w:val="nl-NL"/>
        </w:rPr>
        <w:t>Winddruk</w:t>
      </w:r>
    </w:p>
    <w:p>
      <w:pPr>
        <w:pStyle w:val="T1"/>
        <w:jc w:val="start"/>
        <w:rPr>
          <w:lang w:val="en-GB"/>
        </w:rPr>
      </w:pPr>
      <w:r>
        <w:rPr>
          <w:lang w:val="en-GB"/>
        </w:rPr>
        <w:t>GO 110 mm, Réc 86 mm</w:t>
      </w:r>
    </w:p>
    <w:p>
      <w:pPr>
        <w:pStyle w:val="T1"/>
        <w:jc w:val="start"/>
        <w:rPr>
          <w:lang w:val="en-GB"/>
        </w:rPr>
      </w:pPr>
      <w:r>
        <w:rPr>
          <w:lang w:val="en-GB"/>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herkomst en het precieze bouwjaar van dit zeer compact gebouwde salonorgel konden nog niet exact worden vastgesteld. De registertrekkers zijn aangebracht in de frontons boven en onder een tweetal terrassen aan weerszijden van de handklavieren. De bovenste rij bevat de trekkers voor het Réc met rechts de Jeux de Combinaison. De middelste rij bevat de trekkers voor Cor de Nuit 8' Réc (geheel links) en voor het GO; de trekkers voor Bourdon 8' en Prestant 4' bevinden zich geheel onderaan. De porseleinen registerschildjes met schreefloze kapitalen zijn voorzien van rode (Réc) dan wel blauwe (GO) omrandingen. Boven de handklavieren is de bekende messing firmasignatuur van Mutin-Cavaillé-Coll ingelegd. De boventoetsen van het pedaalklavier hebben van het midden uit naar weerszijden een oplopende lengte. Omwille van de symmetrie is de Soubasse enkel te bedienen via een trede, de trede voor de Montre is gekoppeld aan de registertrekker. In de teenlijst zijn onder een glazen venster in kapitalen de bijschriften voor de lepelvormige treden aangebracht in verschillende kleuren; achtereenvolgens van links naar rechts: Soubasse (rose), Tirasses GO en Rec (geel), Montre (rose), Expressions GO en Rec (basculetreden, geel), Comb. Rec (rood) en Cop. au I</w:t>
      </w:r>
      <w:r>
        <w:rPr>
          <w:vertAlign w:val="superscript"/>
          <w:lang w:val="nl-NL"/>
        </w:rPr>
        <w:t>er</w:t>
      </w:r>
      <w:r>
        <w:rPr>
          <w:lang w:val="nl-NL"/>
        </w:rPr>
        <w:t xml:space="preserve"> Clav. Rec Uni en R.O.G. (unison en octave grave, groen).</w:t>
      </w:r>
    </w:p>
    <w:p>
      <w:pPr>
        <w:pStyle w:val="T1"/>
        <w:jc w:val="start"/>
        <w:rPr/>
      </w:pPr>
      <w:r>
        <w:rPr>
          <w:lang w:val="nl-NL"/>
        </w:rPr>
        <w:t>De windvoorziening bevindt zich in de onderkas, de magazijnbalg is via harmonicakokers met de bovenliggende laden verbonden. Beide laden zijn voorzien van beweegbare bodems. De laden van Réc en GO liggen gespiegeld ten opzichte van elkaar naast elkaar in de kas met vanuit de kerk gezien het Réc links. Beide laden zijn ingedeeld met C-f in hele tonen naar het midden toe aflopend en fis-g</w:t>
      </w:r>
      <w:r>
        <w:rPr>
          <w:vertAlign w:val="superscript"/>
          <w:lang w:val="nl-NL"/>
        </w:rPr>
        <w:t>3</w:t>
      </w:r>
      <w:r>
        <w:rPr>
          <w:lang w:val="nl-NL"/>
        </w:rPr>
        <w:t xml:space="preserve"> chromatisch naar buitenaf aflopend daar tussenin, met bij beide laden de Cis-zijde aan de buitenzijde. Voor de gecombineerde Bourdon 16'/Soubasse 16'/Bourdon 8' is achter het GO een moteurslade met uitwendige balgjes tegen de achterwand geplaatst. Op de achterste rij daarvan staan C-H van de Bourdon 16' opgesteld in hele tonen van buitenaf aflopend, met daar tussenin C-Cis en H van de Flüte Harmon. 8'. Op de binnenste rij staan f</w:t>
      </w:r>
      <w:r>
        <w:rPr>
          <w:vertAlign w:val="superscript"/>
          <w:lang w:val="nl-NL"/>
        </w:rPr>
        <w:t>1</w:t>
      </w:r>
      <w:r>
        <w:rPr>
          <w:lang w:val="nl-NL"/>
        </w:rPr>
        <w:t xml:space="preserve"> en e</w:t>
      </w:r>
      <w:r>
        <w:rPr>
          <w:vertAlign w:val="superscript"/>
          <w:lang w:val="nl-NL"/>
        </w:rPr>
        <w:t xml:space="preserve">1 </w:t>
      </w:r>
      <w:r>
        <w:rPr>
          <w:lang w:val="nl-NL"/>
        </w:rPr>
        <w:t>aan de buitenzijden, vervolgens d-h in hele tonen vanuit het midden aflopend met c</w:t>
      </w:r>
      <w:r>
        <w:rPr>
          <w:vertAlign w:val="superscript"/>
          <w:lang w:val="nl-NL"/>
        </w:rPr>
        <w:t>1</w:t>
      </w:r>
      <w:r>
        <w:rPr>
          <w:lang w:val="nl-NL"/>
        </w:rPr>
        <w:t>-dis</w:t>
      </w:r>
      <w:r>
        <w:rPr>
          <w:vertAlign w:val="superscript"/>
          <w:lang w:val="nl-NL"/>
        </w:rPr>
        <w:t>1</w:t>
      </w:r>
      <w:r>
        <w:rPr>
          <w:lang w:val="nl-NL"/>
        </w:rPr>
        <w:t xml:space="preserve"> daar tussenin. D-B van de Flûte Harmon. 8’ staan afgevoerd aan weerszijden van de lade van het GO. In het front spreken E-A (zijvelden) en B-b (c, dis en e in het middenveld) van de Montre 8', C-Dis zijn zinken binnenpijpen. In het linker tussenveld spreekt alleen B (middelste pijp), de overige pijpen in dit veld zijn loos, het rechter tussenveld is geheel sprekend met H in het midden. Behalve de Montre 8' zijn alle stemmen opgenomen in de expressiekasten. Het jaloezieënraam voor het GO rust op de lade tussen Montre 8' en Bourdon 8'. Op de Récitlade zijn de Jeux de Combinaison direct achter de jaloezieën geplaatst met de Basson 8' geheel vooraan.</w:t>
      </w:r>
    </w:p>
    <w:p>
      <w:pPr>
        <w:pStyle w:val="T1"/>
        <w:jc w:val="start"/>
        <w:rPr>
          <w:szCs w:val="24"/>
          <w:lang w:val="nl-NL"/>
        </w:rPr>
      </w:pPr>
      <w:r>
        <w:rPr>
          <w:lang w:val="nl-NL"/>
        </w:rPr>
        <w:t>Gedekt grenen pijpwerk met eiken voorslagen is aanwezig voor C-f</w:t>
      </w:r>
      <w:r>
        <w:rPr>
          <w:vertAlign w:val="superscript"/>
          <w:lang w:val="nl-NL"/>
        </w:rPr>
        <w:t>1</w:t>
      </w:r>
      <w:r>
        <w:rPr>
          <w:lang w:val="nl-NL"/>
        </w:rPr>
        <w:t xml:space="preserve"> van de Bourdon 16' en C-H van de Cor de Nuit 8' (afgevoerd aan weerszijden), C-H van de Bourdon 8' zijn gecombineerd met c-h van de Bourdon 16'. C-H van de Flûte Harmon. 8' zijn eveneens van grenen, open met eiken voorslagen, stemschuiven en messing rolbaarden, het merendeel verkropt; c-e</w:t>
      </w:r>
      <w:r>
        <w:rPr>
          <w:vertAlign w:val="superscript"/>
          <w:lang w:val="nl-NL"/>
        </w:rPr>
        <w:t>1</w:t>
      </w:r>
      <w:r>
        <w:rPr>
          <w:lang w:val="nl-NL"/>
        </w:rPr>
        <w:t xml:space="preserve"> van dit register zijn open van metaal, f</w:t>
      </w:r>
      <w:r>
        <w:rPr>
          <w:vertAlign w:val="superscript"/>
          <w:lang w:val="nl-NL"/>
        </w:rPr>
        <w:t>1</w:t>
      </w:r>
      <w:r>
        <w:rPr>
          <w:lang w:val="nl-NL"/>
        </w:rPr>
        <w:t>-g</w:t>
      </w:r>
      <w:r>
        <w:rPr>
          <w:vertAlign w:val="superscript"/>
          <w:lang w:val="nl-NL"/>
        </w:rPr>
        <w:t>3</w:t>
      </w:r>
      <w:r>
        <w:rPr>
          <w:lang w:val="nl-NL"/>
        </w:rPr>
        <w:t xml:space="preserve"> overblazend. C-f</w:t>
      </w:r>
      <w:r>
        <w:rPr>
          <w:vertAlign w:val="superscript"/>
          <w:lang w:val="nl-NL"/>
        </w:rPr>
        <w:t>2</w:t>
      </w:r>
      <w:r>
        <w:rPr>
          <w:lang w:val="nl-NL"/>
        </w:rPr>
        <w:t xml:space="preserve"> van de Flûte douce 4' en C-b van de Nasard 2 2/3' zijn gedekt, het vervolg van deze registers is conisch open. C-H (C-Fis verkropt) van de Dulciana 8' zijn van zink met rond opgeworpen labia, het merendeel afgevoerd aan weerszijden van de lade. De zwevend gestemde Eoline 8' begint op c. C-e</w:t>
      </w:r>
      <w:r>
        <w:rPr>
          <w:vertAlign w:val="superscript"/>
          <w:lang w:val="nl-NL"/>
        </w:rPr>
        <w:t>2</w:t>
      </w:r>
      <w:r>
        <w:rPr>
          <w:lang w:val="nl-NL"/>
        </w:rPr>
        <w:t xml:space="preserve"> van de Dulciana en c-h</w:t>
      </w:r>
      <w:r>
        <w:rPr>
          <w:vertAlign w:val="superscript"/>
          <w:lang w:val="nl-NL"/>
        </w:rPr>
        <w:t>1</w:t>
      </w:r>
      <w:r>
        <w:rPr>
          <w:lang w:val="nl-NL"/>
        </w:rPr>
        <w:t xml:space="preserve"> van de Eoline hebben messing rolbaarden, het vervolg van deze registers is voorzien van zijbaarden. Het open metalen pijwerk is voorzien van expressions met uitzondering van het overblazende pijpwerk van de Flûte Harmon. (fis</w:t>
      </w:r>
      <w:r>
        <w:rPr>
          <w:vertAlign w:val="superscript"/>
          <w:lang w:val="nl-NL"/>
        </w:rPr>
        <w:t>1</w:t>
      </w:r>
      <w:r>
        <w:rPr>
          <w:lang w:val="nl-NL"/>
        </w:rPr>
        <w:t>, gis</w:t>
      </w:r>
      <w:r>
        <w:rPr>
          <w:vertAlign w:val="superscript"/>
          <w:lang w:val="nl-NL"/>
        </w:rPr>
        <w:t>1</w:t>
      </w:r>
      <w:r>
        <w:rPr>
          <w:lang w:val="nl-NL"/>
        </w:rPr>
        <w:t xml:space="preserve"> en b</w:t>
      </w:r>
      <w:r>
        <w:rPr>
          <w:vertAlign w:val="superscript"/>
          <w:lang w:val="nl-NL"/>
        </w:rPr>
        <w:t>1</w:t>
      </w:r>
      <w:r>
        <w:rPr>
          <w:lang w:val="nl-NL"/>
        </w:rPr>
        <w:t xml:space="preserve"> met stemlap) en de hoogste pijpen van de Prestant 4' (a</w:t>
      </w:r>
      <w:r>
        <w:rPr>
          <w:vertAlign w:val="superscript"/>
          <w:lang w:val="nl-NL"/>
        </w:rPr>
        <w:t>2</w:t>
      </w:r>
      <w:r>
        <w:rPr>
          <w:lang w:val="nl-NL"/>
        </w:rPr>
        <w:t xml:space="preserve"> en h</w:t>
      </w:r>
      <w:r>
        <w:rPr>
          <w:vertAlign w:val="superscript"/>
          <w:lang w:val="nl-NL"/>
        </w:rPr>
        <w:t>2</w:t>
      </w:r>
      <w:r>
        <w:rPr>
          <w:lang w:val="nl-NL"/>
        </w:rPr>
        <w:t>-g</w:t>
      </w:r>
      <w:r>
        <w:rPr>
          <w:vertAlign w:val="superscript"/>
          <w:lang w:val="nl-NL"/>
        </w:rPr>
        <w:t>3</w:t>
      </w:r>
      <w:r>
        <w:rPr>
          <w:lang w:val="nl-NL"/>
        </w:rPr>
        <w:t>), Flûte douce 4' (c</w:t>
      </w:r>
      <w:r>
        <w:rPr>
          <w:vertAlign w:val="superscript"/>
          <w:lang w:val="nl-NL"/>
        </w:rPr>
        <w:t>3</w:t>
      </w:r>
      <w:r>
        <w:rPr>
          <w:lang w:val="nl-NL"/>
        </w:rPr>
        <w:t>-g</w:t>
      </w:r>
      <w:r>
        <w:rPr>
          <w:vertAlign w:val="superscript"/>
          <w:lang w:val="nl-NL"/>
        </w:rPr>
        <w:t>3</w:t>
      </w:r>
      <w:r>
        <w:rPr>
          <w:lang w:val="nl-NL"/>
        </w:rPr>
        <w:t>), Nasard 2 2/3' (dis</w:t>
      </w:r>
      <w:r>
        <w:rPr>
          <w:vertAlign w:val="superscript"/>
          <w:lang w:val="nl-NL"/>
        </w:rPr>
        <w:t>2</w:t>
      </w:r>
      <w:r>
        <w:rPr>
          <w:lang w:val="nl-NL"/>
        </w:rPr>
        <w:t>-g</w:t>
      </w:r>
      <w:r>
        <w:rPr>
          <w:vertAlign w:val="superscript"/>
          <w:lang w:val="nl-NL"/>
        </w:rPr>
        <w:t>3</w:t>
      </w:r>
      <w:r>
        <w:rPr>
          <w:lang w:val="nl-NL"/>
        </w:rPr>
        <w:t>) en Plein Jeu 3 r. (2 2/3' gis</w:t>
      </w:r>
      <w:r>
        <w:rPr>
          <w:vertAlign w:val="superscript"/>
          <w:lang w:val="nl-NL"/>
        </w:rPr>
        <w:t>2</w:t>
      </w:r>
      <w:r>
        <w:rPr>
          <w:lang w:val="nl-NL"/>
        </w:rPr>
        <w:t>-g</w:t>
      </w:r>
      <w:r>
        <w:rPr>
          <w:vertAlign w:val="superscript"/>
          <w:lang w:val="nl-NL"/>
        </w:rPr>
        <w:t>3</w:t>
      </w:r>
      <w:r>
        <w:rPr>
          <w:lang w:val="nl-NL"/>
        </w:rPr>
        <w:t>; 2' fis</w:t>
      </w:r>
      <w:r>
        <w:rPr>
          <w:vertAlign w:val="superscript"/>
          <w:lang w:val="nl-NL"/>
        </w:rPr>
        <w:t>2</w:t>
      </w:r>
      <w:r>
        <w:rPr>
          <w:lang w:val="nl-NL"/>
        </w:rPr>
        <w:t>-g</w:t>
      </w:r>
      <w:r>
        <w:rPr>
          <w:vertAlign w:val="superscript"/>
          <w:lang w:val="nl-NL"/>
        </w:rPr>
        <w:t>3</w:t>
      </w:r>
      <w:r>
        <w:rPr>
          <w:lang w:val="nl-NL"/>
        </w:rPr>
        <w:t>). De Basson 8' heeft metalen stevels. C-H en c</w:t>
      </w:r>
      <w:r>
        <w:rPr>
          <w:vertAlign w:val="superscript"/>
          <w:lang w:val="nl-NL"/>
        </w:rPr>
        <w:t>3</w:t>
      </w:r>
      <w:r>
        <w:rPr>
          <w:lang w:val="nl-NL"/>
        </w:rPr>
        <w:t>-g</w:t>
      </w:r>
      <w:r>
        <w:rPr>
          <w:vertAlign w:val="superscript"/>
          <w:lang w:val="nl-NL"/>
        </w:rPr>
        <w:t>3</w:t>
      </w:r>
      <w:r>
        <w:rPr>
          <w:lang w:val="nl-NL"/>
        </w:rPr>
        <w:t xml:space="preserve"> hebben overkragende koppen, c-h</w:t>
      </w:r>
      <w:r>
        <w:rPr>
          <w:vertAlign w:val="superscript"/>
          <w:lang w:val="nl-NL"/>
        </w:rPr>
        <w:t>2</w:t>
      </w:r>
      <w:r>
        <w:rPr>
          <w:lang w:val="nl-NL"/>
        </w:rPr>
        <w:t xml:space="preserve"> hebben ingeschoven koppen waarvan c-fis</w:t>
      </w:r>
      <w:r>
        <w:rPr>
          <w:vertAlign w:val="superscript"/>
          <w:lang w:val="nl-NL"/>
        </w:rPr>
        <w:t>2</w:t>
      </w:r>
      <w:r>
        <w:rPr>
          <w:lang w:val="nl-NL"/>
        </w:rPr>
        <w:t xml:space="preserve"> met ring. C-f hebben bekers van spotted metal (C-F verkropt), c</w:t>
      </w:r>
      <w:r>
        <w:rPr>
          <w:vertAlign w:val="superscript"/>
          <w:lang w:val="nl-NL"/>
        </w:rPr>
        <w:t>3</w:t>
      </w:r>
      <w:r>
        <w:rPr>
          <w:lang w:val="nl-NL"/>
        </w:rPr>
        <w:t>-g</w:t>
      </w:r>
      <w:r>
        <w:rPr>
          <w:vertAlign w:val="superscript"/>
          <w:lang w:val="nl-NL"/>
        </w:rPr>
        <w:t>3</w:t>
      </w:r>
      <w:r>
        <w:rPr>
          <w:lang w:val="nl-NL"/>
        </w:rPr>
        <w:t xml:space="preserve"> hebben dubbele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LibreOffice/7.2.1.2$MacOSX_X86_64 LibreOffice_project/87b77fad49947c1441b67c559c339af8f3517e22</Application>
  <AppVersion>15.0000</AppVersion>
  <Pages>4</Pages>
  <Words>836</Words>
  <Characters>4276</Characters>
  <CharactersWithSpaces>5036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2008-02-28T11:39:00Z</dcterms:created>
  <dc:creator>WS1</dc:creator>
  <dc:description/>
  <dc:language>en-US</dc:language>
  <cp:lastModifiedBy>NIvO</cp:lastModifiedBy>
  <dcterms:modified xsi:type="dcterms:W3CDTF">2009-10-02T10:34:00Z</dcterms:modified>
  <cp:revision>9</cp:revision>
  <dc:subject/>
  <dc:title>Hilversum / 1910</dc:title>
</cp:coreProperties>
</file>