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Weesp / 1907</w:t>
      </w:r>
    </w:p>
    <w:p>
      <w:pPr>
        <w:pStyle w:val="Heading2"/>
        <w:rPr>
          <w:i w:val="false"/>
          <w:i w:val="false"/>
          <w:iCs/>
        </w:rPr>
      </w:pPr>
      <w:r>
        <w:rPr>
          <w:i w:val="false"/>
          <w:iCs/>
        </w:rPr>
        <w:t>Nederlandse Protestantenbond</w:t>
      </w:r>
    </w:p>
    <w:p>
      <w:pPr>
        <w:pStyle w:val="T1"/>
        <w:jc w:val="start"/>
        <w:rPr>
          <w:i/>
          <w:i/>
          <w:iCs/>
        </w:rPr>
      </w:pPr>
      <w:r>
        <w:rPr>
          <w:i/>
          <w:iCs/>
        </w:rPr>
      </w:r>
    </w:p>
    <w:p>
      <w:pPr>
        <w:pStyle w:val="T1"/>
        <w:jc w:val="start"/>
        <w:rPr>
          <w:i/>
          <w:i/>
          <w:iCs/>
          <w:color w:val="000000"/>
          <w:lang w:val="nl-NL"/>
        </w:rPr>
      </w:pPr>
      <w:r>
        <w:rPr>
          <w:i/>
          <w:iCs/>
          <w:color w:val="000000"/>
          <w:lang w:val="nl-NL"/>
        </w:rPr>
        <w:t>Brede eenbeukige zaalkerk, gebouwd in overgangs-architectuur met Neo-Romaanse stijlmotieven en Jugendstil-elementen. Het gebouw kwam tot stand naar ontwerp van architect B.J. Ouëndag en is gebouwd in opdracht van de dames J. S. en H.C. van Houten. De zaalkerk is van algemeen belang als historisch-functioneel hoofdonderdeel van het Nederlandse Protestantenbond-complex en als gaaf bewaard voorbeeld van de kerkelijke bouwkunst uit het eerste decennium van de 20e eeuw in de stijl van de overgangsarchitectuur.</w:t>
      </w:r>
    </w:p>
    <w:p>
      <w:pPr>
        <w:pStyle w:val="T1"/>
        <w:jc w:val="start"/>
        <w:rPr>
          <w:i/>
          <w:i/>
          <w:iCs/>
          <w:color w:val="000000"/>
          <w:lang w:val="nl-NL"/>
        </w:rPr>
      </w:pPr>
      <w:r>
        <w:rPr>
          <w:i/>
          <w:iCs/>
          <w:color w:val="000000"/>
          <w:lang w:val="nl-NL"/>
        </w:rPr>
      </w:r>
    </w:p>
    <w:p>
      <w:pPr>
        <w:pStyle w:val="T1"/>
        <w:jc w:val="start"/>
        <w:rPr>
          <w:lang w:val="nl-NL"/>
        </w:rPr>
      </w:pPr>
      <w:r>
        <w:rPr>
          <w:lang w:val="nl-NL"/>
        </w:rPr>
        <w:t>Kas: 1907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ontwerp met meerdere stijlinvloeden waarmee men heeft willen aansluiten bij het interieur van de kerk, dat is uitgevoerd in onder andere Jugendstil. Zo is de onderkas van eenzelfde ontwerp als de preekstoel onder het orgel. Het pijpwerk staat open opgesteld en is aan de bovenzijde decoratief ingesneden. Het staat opgesteld in twee grote torens links en rechts, een vrij brede lage toren in het midden, en daartussen twee smalle vlakke velden. Aan de onderzijde worden de drie pijptorens ondersteund door rijk bewerkte consoles, met een reeks geschilderde tandlijsten, waarbij de console in het midden erg breed is uitgevallen. Het pijpwerk wordt bijeengehouden door lijstwerk dat de indruk wekt metaal te zijn, vastgezet met metalen punten, een referentie aan Jugendstil. Kijkt men goed dan ziet men dat bij het lijstwerk toch op een vrij traditionele manier geledingen zijn aangebracht: er is een soort bordeauxrode hoofdstructuur die wordt omspeelt met verguld sierwerk van voluten en ranken.</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rPr>
      </w:pPr>
      <w:r>
        <w:rPr>
          <w:rFonts w:cs="CG Times;Times New Roman" w:ascii="CG Times;Times New Roman" w:hAnsi="CG Times;Times New Roman"/>
          <w:spacing w:val="-3"/>
          <w:szCs w:val="24"/>
        </w:rPr>
      </w:r>
    </w:p>
    <w:p>
      <w:pPr>
        <w:pStyle w:val="T3Lit"/>
        <w:jc w:val="start"/>
        <w:rPr>
          <w:b/>
          <w:b/>
          <w:bCs/>
          <w:lang w:val="nl-NL"/>
        </w:rPr>
      </w:pPr>
      <w:r>
        <w:rPr>
          <w:b/>
          <w:bCs/>
          <w:lang w:val="nl-NL"/>
        </w:rPr>
        <w:t>Literatuur</w:t>
      </w:r>
    </w:p>
    <w:p>
      <w:pPr>
        <w:pStyle w:val="T3Lit"/>
        <w:jc w:val="start"/>
        <w:rPr/>
      </w:pPr>
      <w:r>
        <w:rPr>
          <w:iCs/>
          <w:lang w:val="nl-NL"/>
        </w:rPr>
        <w:t xml:space="preserve">Piet Visser, </w:t>
      </w:r>
      <w:r>
        <w:rPr>
          <w:i/>
          <w:iCs/>
          <w:lang w:val="nl-NL"/>
        </w:rPr>
        <w:t>Honderd jaar Adema-orgels</w:t>
      </w:r>
      <w:r>
        <w:rPr>
          <w:iCs/>
          <w:lang w:val="nl-NL"/>
        </w:rPr>
        <w:t>. Amsterdam, 1954.</w:t>
      </w:r>
    </w:p>
    <w:p>
      <w:pPr>
        <w:pStyle w:val="T3Lit"/>
        <w:rPr>
          <w:iCs/>
          <w:lang w:val="nl-NL"/>
        </w:rPr>
      </w:pPr>
      <w:r>
        <w:rPr>
          <w:iCs/>
          <w:lang w:val="nl-NL"/>
        </w:rPr>
      </w:r>
    </w:p>
    <w:p>
      <w:pPr>
        <w:pStyle w:val="T3Lit"/>
        <w:rPr>
          <w:lang w:val="nl-NL"/>
        </w:rPr>
      </w:pPr>
      <w:r>
        <w:rPr>
          <w:lang w:val="nl-NL"/>
        </w:rPr>
        <w:t>Monumentnummer 512906</w:t>
      </w:r>
    </w:p>
    <w:p>
      <w:pPr>
        <w:pStyle w:val="T3Lit"/>
        <w:rPr>
          <w:lang w:val="nl-NL"/>
        </w:rPr>
      </w:pPr>
      <w:r>
        <w:rPr>
          <w:lang w:val="nl-NL"/>
        </w:rPr>
        <w:t>Orgelnummer 2027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Normal"/>
        <w:autoSpaceDE w:val="false"/>
        <w:rPr>
          <w:rFonts w:ascii="Times New Roman" w:hAnsi="Times New Roman" w:cs="Times New Roman"/>
        </w:rPr>
      </w:pPr>
      <w:r>
        <w:rPr>
          <w:rFonts w:cs="Times New Roman" w:ascii="Times New Roman" w:hAnsi="Times New Roman"/>
        </w:rPr>
        <w:t>Adema 1941</w:t>
      </w:r>
    </w:p>
    <w:p>
      <w:pPr>
        <w:pStyle w:val="Normal"/>
        <w:autoSpaceDE w:val="false"/>
        <w:rPr>
          <w:rFonts w:ascii="Times New Roman" w:hAnsi="Times New Roman" w:cs="Times New Roman"/>
        </w:rPr>
      </w:pPr>
      <w:r>
        <w:rPr>
          <w:rFonts w:cs="Times New Roman" w:ascii="Times New Roman" w:hAnsi="Times New Roman"/>
        </w:rPr>
        <w:t>.</w:t>
        <w:tab/>
        <w:t>herstelwerkzaamheden aan de laden; membramen vernieuwd</w:t>
      </w:r>
    </w:p>
    <w:p>
      <w:pPr>
        <w:pStyle w:val="Normal"/>
        <w:autoSpaceDE w:val="false"/>
        <w:rPr>
          <w:rFonts w:ascii="Times New Roman" w:hAnsi="Times New Roman" w:cs="Times New Roman"/>
        </w:rPr>
      </w:pPr>
      <w:r>
        <w:rPr>
          <w:rFonts w:cs="Times New Roman" w:ascii="Times New Roman" w:hAnsi="Times New Roman"/>
        </w:rPr>
      </w:r>
    </w:p>
    <w:p>
      <w:pPr>
        <w:pStyle w:val="Normal"/>
        <w:autoSpaceDE w:val="false"/>
        <w:rPr>
          <w:rFonts w:ascii="Times New Roman" w:hAnsi="Times New Roman" w:cs="Times New Roman"/>
        </w:rPr>
      </w:pPr>
      <w:r>
        <w:rPr>
          <w:rFonts w:cs="Times New Roman" w:ascii="Times New Roman" w:hAnsi="Times New Roman"/>
        </w:rPr>
        <w:t>Adema 1952</w:t>
      </w:r>
    </w:p>
    <w:p>
      <w:pPr>
        <w:pStyle w:val="Normal"/>
        <w:autoSpaceDE w:val="false"/>
        <w:rPr>
          <w:rFonts w:ascii="Times New Roman" w:hAnsi="Times New Roman" w:cs="Times New Roman"/>
        </w:rPr>
      </w:pPr>
      <w:r>
        <w:rPr>
          <w:rFonts w:cs="Times New Roman" w:ascii="Times New Roman" w:hAnsi="Times New Roman"/>
        </w:rPr>
        <w:t>.</w:t>
        <w:tab/>
        <w:t>speeltafel gereviseerd</w:t>
      </w:r>
    </w:p>
    <w:p>
      <w:pPr>
        <w:pStyle w:val="Normal"/>
        <w:autoSpaceDE w:val="false"/>
        <w:rPr>
          <w:rFonts w:ascii="Times New Roman" w:hAnsi="Times New Roman" w:cs="Times New Roman"/>
        </w:rPr>
      </w:pPr>
      <w:r>
        <w:rPr>
          <w:rFonts w:cs="Times New Roman" w:ascii="Times New Roman" w:hAnsi="Times New Roman"/>
        </w:rPr>
      </w:r>
    </w:p>
    <w:p>
      <w:pPr>
        <w:pStyle w:val="Normal"/>
        <w:autoSpaceDE w:val="false"/>
        <w:rPr>
          <w:rFonts w:ascii="Times New Roman" w:hAnsi="Times New Roman" w:cs="Times New Roman"/>
        </w:rPr>
      </w:pPr>
      <w:r>
        <w:rPr>
          <w:rFonts w:cs="Times New Roman" w:ascii="Times New Roman" w:hAnsi="Times New Roman"/>
        </w:rPr>
        <w:t>Adema 1958</w:t>
      </w:r>
    </w:p>
    <w:p>
      <w:pPr>
        <w:pStyle w:val="Normal"/>
        <w:autoSpaceDE w:val="false"/>
        <w:rPr>
          <w:rFonts w:ascii="Times New Roman" w:hAnsi="Times New Roman" w:cs="Times New Roman"/>
        </w:rPr>
      </w:pPr>
      <w:r>
        <w:rPr>
          <w:rFonts w:cs="Times New Roman" w:ascii="Times New Roman" w:hAnsi="Times New Roman"/>
        </w:rPr>
        <w:t>.</w:t>
        <w:tab/>
        <w:t>pijpvoeten Viola, Vox Coelestis en Violine wegens tinpest vernieuwd</w:t>
      </w:r>
    </w:p>
    <w:p>
      <w:pPr>
        <w:pStyle w:val="Normal"/>
        <w:autoSpaceDE w:val="false"/>
        <w:rPr>
          <w:rFonts w:ascii="Times New Roman" w:hAnsi="Times New Roman" w:cs="Times New Roman"/>
        </w:rPr>
      </w:pPr>
      <w:r>
        <w:rPr>
          <w:rFonts w:cs="Times New Roman" w:ascii="Times New Roman" w:hAnsi="Times New Roman"/>
        </w:rPr>
      </w:r>
    </w:p>
    <w:p>
      <w:pPr>
        <w:pStyle w:val="Normal"/>
        <w:autoSpaceDE w:val="false"/>
        <w:rPr>
          <w:rFonts w:ascii="Times New Roman" w:hAnsi="Times New Roman" w:cs="Times New Roman"/>
        </w:rPr>
      </w:pPr>
      <w:r>
        <w:rPr>
          <w:rFonts w:cs="Times New Roman" w:ascii="Times New Roman" w:hAnsi="Times New Roman"/>
        </w:rPr>
        <w:t>Adema-Schreurs 1993</w:t>
      </w:r>
    </w:p>
    <w:p>
      <w:pPr>
        <w:pStyle w:val="Normal"/>
        <w:autoSpaceDE w:val="false"/>
        <w:rPr>
          <w:rFonts w:ascii="Times New Roman" w:hAnsi="Times New Roman" w:cs="Times New Roman"/>
        </w:rPr>
      </w:pPr>
      <w:r>
        <w:rPr>
          <w:rFonts w:cs="Times New Roman" w:ascii="Times New Roman" w:hAnsi="Times New Roman"/>
        </w:rPr>
        <w:t>.</w:t>
        <w:tab/>
        <w:t>algehele restauratie</w:t>
      </w:r>
    </w:p>
    <w:p>
      <w:pPr>
        <w:pStyle w:val="T1"/>
        <w:jc w:val="start"/>
        <w:rPr>
          <w:rFonts w:ascii="Times New Roman" w:hAnsi="Times New Roman" w:cs="Times New Roman"/>
          <w:lang w:val="nl-NL"/>
        </w:rPr>
      </w:pPr>
      <w:r>
        <w:rPr>
          <w:rFonts w:cs="Times New Roman"/>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hoofdmanuaal, reciet,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690"/>
        <w:gridCol w:w="900"/>
        <w:gridCol w:w="1800"/>
        <w:gridCol w:w="540"/>
        <w:gridCol w:w="1080"/>
        <w:gridCol w:w="720"/>
      </w:tblGrid>
      <w:tr>
        <w:trPr/>
        <w:tc>
          <w:tcPr>
            <w:tcW w:w="1690" w:type="dxa"/>
            <w:tcBorders/>
          </w:tcPr>
          <w:p>
            <w:pPr>
              <w:pStyle w:val="T4dispositie"/>
              <w:rPr>
                <w:i/>
                <w:i/>
                <w:iCs/>
                <w:lang w:val="nl-NL"/>
              </w:rPr>
            </w:pPr>
            <w:r>
              <w:rPr>
                <w:i/>
                <w:iCs/>
                <w:lang w:val="nl-NL"/>
              </w:rPr>
              <w:t>Hoofdmanuaal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Salicional</w:t>
            </w:r>
          </w:p>
          <w:p>
            <w:pPr>
              <w:pStyle w:val="T4dispositie"/>
              <w:rPr>
                <w:lang w:val="nl-NL"/>
              </w:rPr>
            </w:pPr>
            <w:r>
              <w:rPr>
                <w:lang w:val="nl-NL"/>
              </w:rPr>
              <w:t>Fluit harm.</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2-3-4 st.</w:t>
            </w:r>
          </w:p>
          <w:p>
            <w:pPr>
              <w:pStyle w:val="T4dispositie"/>
              <w:rPr>
                <w:lang w:val="nl-NL"/>
              </w:rPr>
            </w:pPr>
            <w:r>
              <w:rPr>
                <w:lang w:val="nl-NL"/>
              </w:rPr>
              <w:t>8'</w:t>
            </w:r>
          </w:p>
        </w:tc>
        <w:tc>
          <w:tcPr>
            <w:tcW w:w="1800" w:type="dxa"/>
            <w:tcBorders/>
          </w:tcPr>
          <w:p>
            <w:pPr>
              <w:pStyle w:val="T4dispositie"/>
              <w:rPr>
                <w:i/>
                <w:i/>
                <w:lang w:val="nl-NL"/>
              </w:rPr>
            </w:pPr>
            <w:r>
              <w:rPr>
                <w:i/>
                <w:lang w:val="nl-NL"/>
              </w:rPr>
              <w:t>Reciet Expressief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Vox Coelestis</w:t>
            </w:r>
          </w:p>
          <w:p>
            <w:pPr>
              <w:pStyle w:val="T4dispositie"/>
              <w:rPr>
                <w:lang w:val="nl-NL"/>
              </w:rPr>
            </w:pPr>
            <w:r>
              <w:rPr>
                <w:lang w:val="nl-NL"/>
              </w:rPr>
              <w:t>Violine</w:t>
            </w:r>
          </w:p>
          <w:p>
            <w:pPr>
              <w:pStyle w:val="T4dispositie"/>
              <w:rPr>
                <w:lang w:val="nl-NL"/>
              </w:rPr>
            </w:pPr>
            <w:r>
              <w:rPr>
                <w:lang w:val="nl-NL"/>
              </w:rPr>
              <w:t>Fluit harm.</w:t>
            </w:r>
          </w:p>
          <w:p>
            <w:pPr>
              <w:pStyle w:val="T4dispositie"/>
              <w:rPr>
                <w:lang w:val="nl-NL"/>
              </w:rPr>
            </w:pPr>
            <w:r>
              <w:rPr>
                <w:lang w:val="nl-NL"/>
              </w:rPr>
              <w:t>Piccolo</w:t>
            </w:r>
          </w:p>
          <w:p>
            <w:pPr>
              <w:pStyle w:val="T4dispositie"/>
              <w:rPr>
                <w:lang w:val="nl-NL"/>
              </w:rPr>
            </w:pPr>
            <w:r>
              <w:rPr>
                <w:lang w:val="nl-NL"/>
              </w:rPr>
              <w:t>Fagot-Hobo</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2stemmen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Openbas</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8' tr</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rPr>
      </w:pPr>
      <w:r>
        <w:rPr>
          <w:rFonts w:cs="Times New Roman" w:ascii="Times New Roman" w:hAnsi="Times New Roman"/>
          <w:szCs w:val="24"/>
        </w:rPr>
        <w:t>manuaalkoppel, suboctaafkoppel II, Ped-I, Ped-II</w:t>
      </w:r>
    </w:p>
    <w:p>
      <w:pPr>
        <w:pStyle w:val="Normal"/>
        <w:rPr>
          <w:rFonts w:ascii="Times New Roman" w:hAnsi="Times New Roman" w:cs="Times New Roman"/>
        </w:rPr>
      </w:pPr>
      <w:r>
        <w:rPr>
          <w:rFonts w:cs="Times New Roman" w:ascii="Times New Roman" w:hAnsi="Times New Roman"/>
        </w:rPr>
        <w:t>vrije combinatie</w:t>
      </w:r>
    </w:p>
    <w:p>
      <w:pPr>
        <w:pStyle w:val="Normal"/>
        <w:rPr>
          <w:rFonts w:ascii="Times New Roman" w:hAnsi="Times New Roman" w:cs="Times New Roman"/>
        </w:rPr>
      </w:pPr>
      <w:r>
        <w:rPr>
          <w:rFonts w:cs="Times New Roman" w:ascii="Times New Roman" w:hAnsi="Times New Roman"/>
        </w:rPr>
        <w:t>vaste combinaties pp - p - mf - f - ff – tutti</w:t>
      </w:r>
    </w:p>
    <w:p>
      <w:pPr>
        <w:pStyle w:val="Normal"/>
        <w:rPr>
          <w:rFonts w:ascii="Times New Roman" w:hAnsi="Times New Roman" w:cs="Times New Roman"/>
        </w:rPr>
      </w:pPr>
      <w:r>
        <w:rPr>
          <w:rFonts w:cs="Times New Roman" w:ascii="Times New Roman" w:hAnsi="Times New Roman"/>
        </w:rPr>
        <w:t>automatisch pedaal</w:t>
      </w:r>
    </w:p>
    <w:p>
      <w:pPr>
        <w:pStyle w:val="Normal"/>
        <w:rPr>
          <w:rFonts w:ascii="Times New Roman" w:hAnsi="Times New Roman" w:cs="Times New Roman"/>
        </w:rPr>
      </w:pPr>
      <w:r>
        <w:rPr>
          <w:rFonts w:cs="Times New Roman" w:ascii="Times New Roman" w:hAnsi="Times New Roman"/>
        </w:rPr>
        <w:t>combinatieregisters HW</w:t>
      </w:r>
    </w:p>
    <w:p>
      <w:pPr>
        <w:pStyle w:val="Normal"/>
        <w:rPr>
          <w:rFonts w:ascii="Times New Roman" w:hAnsi="Times New Roman" w:cs="Times New Roman"/>
        </w:rPr>
      </w:pPr>
      <w:r>
        <w:rPr>
          <w:rFonts w:cs="Times New Roman" w:ascii="Times New Roman" w:hAnsi="Times New Roman"/>
        </w:rPr>
        <w:t>combinatieregisters manuaal Rec</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2824" w:type="dxa"/>
        <w:jc w:val="start"/>
        <w:tblInd w:w="-108" w:type="dxa"/>
        <w:tblLayout w:type="fixed"/>
        <w:tblCellMar>
          <w:top w:w="0" w:type="dxa"/>
          <w:start w:w="108" w:type="dxa"/>
          <w:bottom w:w="0" w:type="dxa"/>
          <w:end w:w="108" w:type="dxa"/>
        </w:tblCellMar>
      </w:tblPr>
      <w:tblGrid>
        <w:gridCol w:w="1003"/>
        <w:gridCol w:w="607"/>
        <w:gridCol w:w="607"/>
        <w:gridCol w:w="607"/>
      </w:tblGrid>
      <w:tr>
        <w:trPr/>
        <w:tc>
          <w:tcPr>
            <w:tcW w:w="1003"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607" w:type="dxa"/>
            <w:tcBorders/>
          </w:tcPr>
          <w:p>
            <w:pPr>
              <w:pStyle w:val="T4dispositie"/>
              <w:rPr/>
            </w:pPr>
            <w:r>
              <w:rPr/>
              <w:t>C</w:t>
            </w:r>
          </w:p>
          <w:p>
            <w:pPr>
              <w:pStyle w:val="T4dispositie"/>
              <w:rPr/>
            </w:pPr>
            <w:r>
              <w:rPr/>
              <w:t>2 2/3</w:t>
            </w:r>
          </w:p>
          <w:p>
            <w:pPr>
              <w:pStyle w:val="T4dispositie"/>
              <w:rPr/>
            </w:pPr>
            <w:r>
              <w:rPr/>
              <w:t>2</w:t>
            </w:r>
          </w:p>
        </w:tc>
        <w:tc>
          <w:tcPr>
            <w:tcW w:w="607"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c>
          <w:tcPr>
            <w:tcW w:w="607" w:type="dxa"/>
            <w:tcBorders/>
          </w:tcPr>
          <w:p>
            <w:pPr>
              <w:pStyle w:val="T4dispositie"/>
              <w:rPr/>
            </w:pPr>
            <w:r>
              <w:rPr/>
              <w:t>c2</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(1907)</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Normal"/>
        <w:autoSpaceDE w:val="false"/>
        <w:rPr>
          <w:rFonts w:ascii="Times New Roman" w:hAnsi="Times New Roman" w:cs="Times New Roman"/>
        </w:rPr>
      </w:pPr>
      <w:r>
        <w:rPr>
          <w:rFonts w:cs="Times New Roman" w:ascii="Times New Roman" w:hAnsi="Times New Roman"/>
        </w:rPr>
        <w:t>Het instrument verkeert nog geheel in originele staat, inclusief de trapinstallatie en de fraai geprofileerde orgelbank.</w:t>
      </w:r>
    </w:p>
    <w:p>
      <w:pPr>
        <w:pStyle w:val="Normal"/>
        <w:autoSpaceDE w:val="false"/>
        <w:rPr>
          <w:rFonts w:ascii="Times New Roman" w:hAnsi="Times New Roman" w:cs="Times New Roman"/>
        </w:rPr>
      </w:pPr>
      <w:r>
        <w:rPr>
          <w:rFonts w:cs="Times New Roman" w:ascii="Times New Roman" w:hAnsi="Times New Roman"/>
        </w:rPr>
        <w:t>Het orgel staat in een halfopen opstelling en is voorzien van kegelladen met pneumatische tractuur. Man I en II zijn achter elkaar geplaatst; de pedaalregisters zijn transmissies van Man I.</w:t>
      </w:r>
    </w:p>
    <w:p>
      <w:pPr>
        <w:pStyle w:val="Normal"/>
        <w:autoSpaceDE w:val="false"/>
        <w:rPr>
          <w:rFonts w:ascii="Times New Roman" w:hAnsi="Times New Roman" w:cs="Times New Roman"/>
        </w:rPr>
      </w:pPr>
      <w:r>
        <w:rPr>
          <w:rFonts w:cs="Times New Roman" w:ascii="Times New Roman" w:hAnsi="Times New Roman"/>
        </w:rPr>
        <w:t>De frontpijpen zijn aan de bovenzijde versierd met een kroontje. Het houten pijpwerk is van grenen. Alle metalen pijpwerk is van een hoog tingehalte en, voor zover open, voorzien van expressions. De beide fluiten harmoniek zijn vanaf f overblazend. De tongwerken hebben metalen stevels en koppen.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2009-01-06T10:20:00Z</dcterms:created>
  <dc:creator>WS1</dc:creator>
  <dc:description/>
  <dc:language>en-US</dc:language>
  <cp:lastModifiedBy>NIvO</cp:lastModifiedBy>
  <dcterms:modified xsi:type="dcterms:W3CDTF">2009-09-21T15:05:00Z</dcterms:modified>
  <cp:revision>8</cp:revision>
  <dc:subject/>
  <dc:title>Heumen / ca 1860</dc:title>
</cp:coreProperties>
</file>