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Westbroek / 1914</w:t>
      </w:r>
    </w:p>
    <w:p>
      <w:pPr>
        <w:pStyle w:val="Heading2"/>
        <w:rPr>
          <w:i w:val="false"/>
          <w:i w:val="false"/>
          <w:iCs/>
        </w:rPr>
      </w:pPr>
      <w:r>
        <w:rPr>
          <w:i w:val="false"/>
          <w:iCs/>
        </w:rPr>
        <w:t>Nederlands Gereformeerde Kerk</w:t>
      </w:r>
    </w:p>
    <w:p>
      <w:pPr>
        <w:pStyle w:val="Normal"/>
        <w:rPr>
          <w:i/>
          <w:i/>
          <w:iCs/>
        </w:rPr>
      </w:pPr>
      <w:r>
        <w:rPr>
          <w:i/>
          <w:iCs/>
        </w:rPr>
      </w:r>
    </w:p>
    <w:p>
      <w:pPr>
        <w:pStyle w:val="TextBody"/>
        <w:rPr/>
      </w:pPr>
      <w:r>
        <w:rPr/>
        <w:t>Het kerkgebouw dateert uit 1903 en is verschillende keren uitgebreid en verbouwd. Alleen de zijmuren met rondboogramen met origineel roedenpatroon bieden aan de buitenzijde nog een oorspronkelijke aanblik. De kerkzaal heeft een houten afgeplat tongewelf; preekstoel en orgel vormen stilistisch een eenheid.</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i/>
          <w:i/>
          <w:iCs/>
          <w:spacing w:val="-3"/>
        </w:rPr>
      </w:pPr>
      <w:r>
        <w:rPr>
          <w:i/>
          <w:iCs/>
          <w:spacing w:val="-3"/>
        </w:rPr>
      </w:r>
    </w:p>
    <w:p>
      <w:pPr>
        <w:pStyle w:val="T1"/>
        <w:jc w:val="start"/>
        <w:rPr>
          <w:lang w:val="nl-NL"/>
        </w:rPr>
      </w:pPr>
      <w:r>
        <w:rPr>
          <w:lang w:val="nl-NL"/>
        </w:rPr>
        <w:t>Kas: 1914</w:t>
      </w:r>
    </w:p>
    <w:p>
      <w:pPr>
        <w:pStyle w:val="T1"/>
        <w:jc w:val="start"/>
        <w:rPr>
          <w:lang w:val="nl-NL"/>
        </w:rPr>
      </w:pPr>
      <w:r>
        <w:rPr>
          <w:lang w:val="nl-NL"/>
        </w:rPr>
      </w:r>
    </w:p>
    <w:p>
      <w:pPr>
        <w:pStyle w:val="Heading2"/>
        <w:rPr>
          <w:i w:val="false"/>
          <w:i w:val="false"/>
          <w:iCs/>
        </w:rPr>
      </w:pPr>
      <w:r>
        <w:rPr>
          <w:i w:val="false"/>
          <w:iCs/>
        </w:rPr>
        <w:t>Kunsthistorische aspecten</w:t>
      </w:r>
    </w:p>
    <w:p>
      <w:pPr>
        <w:pStyle w:val="T3Lit"/>
        <w:rPr>
          <w:b/>
          <w:b/>
          <w:bCs/>
          <w:i/>
          <w:i/>
          <w:iCs/>
          <w:lang w:val="nl-NL"/>
        </w:rPr>
      </w:pPr>
      <w:r>
        <w:rPr>
          <w:b/>
          <w:bCs/>
          <w:i/>
          <w:iCs/>
          <w:lang w:val="nl-NL"/>
        </w:rPr>
      </w:r>
    </w:p>
    <w:p>
      <w:pPr>
        <w:pStyle w:val="T3Lit"/>
        <w:rPr>
          <w:b/>
          <w:b/>
          <w:bCs/>
          <w:lang w:val="nl-NL"/>
        </w:rPr>
      </w:pPr>
      <w:r>
        <w:rPr>
          <w:b/>
          <w:bCs/>
          <w:lang w:val="nl-NL"/>
        </w:rPr>
        <w:t>Niet gepubliceerde bron</w:t>
      </w:r>
    </w:p>
    <w:p>
      <w:pPr>
        <w:pStyle w:val="T3Lit"/>
        <w:jc w:val="start"/>
        <w:rPr>
          <w:lang w:val="nl-NL"/>
        </w:rPr>
      </w:pPr>
      <w:r>
        <w:rPr>
          <w:lang w:val="nl-NL"/>
        </w:rPr>
        <w:t>Rapport OAC GOV 1986 (Jean Telder/Jan Gierveld)</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A.S.J. Dekker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 xml:space="preserve"> </w:t>
      </w:r>
      <w:r>
        <w:rPr>
          <w:lang w:val="nl-NL"/>
        </w:rPr>
        <w:t>1914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567" w:type="dxa"/>
        <w:jc w:val="start"/>
        <w:tblInd w:w="-70" w:type="dxa"/>
        <w:tblLayout w:type="fixed"/>
        <w:tblCellMar>
          <w:top w:w="0" w:type="dxa"/>
          <w:start w:w="70" w:type="dxa"/>
          <w:bottom w:w="0" w:type="dxa"/>
          <w:end w:w="70" w:type="dxa"/>
        </w:tblCellMar>
      </w:tblPr>
      <w:tblGrid>
        <w:gridCol w:w="1807"/>
        <w:gridCol w:w="760"/>
      </w:tblGrid>
      <w:tr>
        <w:trPr>
          <w:trHeight w:val="230" w:hRule="atLeast"/>
        </w:trPr>
        <w:tc>
          <w:tcPr>
            <w:tcW w:w="1807" w:type="dxa"/>
            <w:tcBorders/>
          </w:tcPr>
          <w:p>
            <w:pPr>
              <w:pStyle w:val="T4dispositie"/>
              <w:snapToGrid w:val="false"/>
              <w:rPr>
                <w:i/>
                <w:i/>
                <w:iCs/>
                <w:lang w:val="en-GB"/>
              </w:rPr>
            </w:pPr>
            <w:r>
              <w:rPr>
                <w:i/>
                <w:iCs/>
                <w:lang w:val="en-GB"/>
              </w:rPr>
              <w:t>Manuaal</w:t>
            </w:r>
          </w:p>
          <w:p>
            <w:pPr>
              <w:pStyle w:val="T4dispositie"/>
              <w:rPr>
                <w:lang w:val="en-GB"/>
              </w:rPr>
            </w:pPr>
            <w:r>
              <w:rPr>
                <w:lang w:val="en-GB"/>
              </w:rPr>
              <w:t>8 stemmen</w:t>
            </w:r>
          </w:p>
          <w:p>
            <w:pPr>
              <w:pStyle w:val="T4dispositie"/>
              <w:rPr>
                <w:lang w:val="en-GB"/>
              </w:rPr>
            </w:pPr>
            <w:r>
              <w:rPr>
                <w:lang w:val="en-GB"/>
              </w:rPr>
            </w:r>
          </w:p>
          <w:p>
            <w:pPr>
              <w:pStyle w:val="T4dispositie"/>
              <w:rPr>
                <w:lang w:val="en-GB"/>
              </w:rPr>
            </w:pPr>
            <w:r>
              <w:rPr>
                <w:lang w:val="en-GB"/>
              </w:rPr>
              <w:t>Bourdon D</w:t>
            </w:r>
          </w:p>
          <w:p>
            <w:pPr>
              <w:pStyle w:val="T4dispositie"/>
              <w:rPr>
                <w:lang w:val="en-GB"/>
              </w:rPr>
            </w:pPr>
            <w:r>
              <w:rPr>
                <w:lang w:val="en-GB"/>
              </w:rPr>
              <w:t>Prestant</w:t>
            </w:r>
          </w:p>
          <w:p>
            <w:pPr>
              <w:pStyle w:val="T4dispositie"/>
              <w:rPr>
                <w:lang w:val="en-GB"/>
              </w:rPr>
            </w:pPr>
            <w:r>
              <w:rPr>
                <w:lang w:val="en-GB"/>
              </w:rPr>
              <w:t>Holpijp</w:t>
            </w:r>
          </w:p>
          <w:p>
            <w:pPr>
              <w:pStyle w:val="T4dispositie"/>
              <w:rPr>
                <w:lang w:val="en-GB"/>
              </w:rPr>
            </w:pPr>
            <w:r>
              <w:rPr>
                <w:lang w:val="en-GB"/>
              </w:rPr>
              <w:t>Gamba</w:t>
            </w:r>
          </w:p>
          <w:p>
            <w:pPr>
              <w:pStyle w:val="T4dispositie"/>
              <w:rPr>
                <w:lang w:val="en-GB"/>
              </w:rPr>
            </w:pPr>
            <w:r>
              <w:rPr>
                <w:lang w:val="en-GB"/>
              </w:rPr>
              <w:t>Prestant</w:t>
            </w:r>
          </w:p>
          <w:p>
            <w:pPr>
              <w:pStyle w:val="T4dispositie"/>
              <w:rPr>
                <w:lang w:val="en-GB"/>
              </w:rPr>
            </w:pPr>
            <w:r>
              <w:rPr>
                <w:lang w:val="en-GB"/>
              </w:rPr>
              <w:t>Flute Dolce</w:t>
            </w:r>
          </w:p>
          <w:p>
            <w:pPr>
              <w:pStyle w:val="T4dispositie"/>
              <w:rPr>
                <w:lang w:val="en-GB"/>
              </w:rPr>
            </w:pPr>
            <w:r>
              <w:rPr>
                <w:lang w:val="en-GB"/>
              </w:rPr>
              <w:t>Woudfluit</w:t>
            </w:r>
          </w:p>
          <w:p>
            <w:pPr>
              <w:pStyle w:val="T4dispositie"/>
              <w:rPr>
                <w:lang w:val="en-GB"/>
              </w:rPr>
            </w:pPr>
            <w:r>
              <w:rPr>
                <w:lang w:val="en-GB"/>
              </w:rPr>
              <w:t>Cornet D</w:t>
            </w:r>
          </w:p>
        </w:tc>
        <w:tc>
          <w:tcPr>
            <w:tcW w:w="76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3 st.</w:t>
            </w:r>
          </w:p>
        </w:tc>
      </w:tr>
    </w:tbl>
    <w:p>
      <w:pPr>
        <w:pStyle w:val="T1"/>
        <w:jc w:val="start"/>
        <w:rPr>
          <w:lang w:val="en-GB"/>
        </w:rPr>
      </w:pPr>
      <w:r>
        <w:rPr>
          <w:lang w:val="en-GB"/>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Cornet  c</w:t>
      </w:r>
      <w:r>
        <w:rPr>
          <w:vertAlign w:val="superscript"/>
          <w:lang w:val="nl-NL"/>
        </w:rPr>
        <w:t>1</w:t>
      </w:r>
      <w:r>
        <w:rPr>
          <w:lang w:val="nl-NL"/>
        </w:rPr>
        <w:t xml:space="preserve">   4 - 2 2/3 - 2</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schepbalg (1914)</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Normal"/>
        <w:rPr>
          <w:i/>
          <w:i/>
          <w:iCs/>
        </w:rPr>
      </w:pPr>
      <w:r>
        <w:rPr>
          <w:i/>
          <w:iCs/>
        </w:rPr>
      </w:r>
    </w:p>
    <w:p>
      <w:pPr>
        <w:pStyle w:val="Normal"/>
        <w:rPr>
          <w:iCs/>
        </w:rPr>
      </w:pPr>
      <w:r>
        <w:rPr>
          <w:iCs/>
        </w:rPr>
        <w:t>Het orgel verkeert vrijwel geheel in originele staat. De kas is van naaldhout.</w:t>
      </w:r>
    </w:p>
    <w:p>
      <w:pPr>
        <w:pStyle w:val="Normal"/>
        <w:rPr>
          <w:iCs/>
        </w:rPr>
      </w:pPr>
      <w:r>
        <w:rPr>
          <w:iCs/>
        </w:rPr>
        <w:t>Boven het handklavier is een bordje aangebracht met de naam van de bouwer. Het handklavier is uitgevoerd als staartklavier. De ondertoetsen zijn belegd met celluloid, de boventoetsen met ebben. Bakstukken, lijstwerk en registerbord zijn beschilderd met een donkere grove houtimitatie. De palissander registerknoppen aangebracht boven het manuaal zijn voorzien van porseleinen naamplaatjes met een gouden biesje en opschriften in zwarte letter. Het handklavier ligt in een bak die door middel van een klep (tevens lessenaar) kan worden afgesloten. De grenen orgelbank is geschilderd; het pedaalklavier is van eiken.</w:t>
      </w:r>
    </w:p>
    <w:p>
      <w:pPr>
        <w:pStyle w:val="Normal"/>
        <w:rPr>
          <w:iCs/>
        </w:rPr>
      </w:pPr>
      <w:r>
        <w:rPr>
          <w:iCs/>
        </w:rPr>
        <w:t>De magazijnbalg met inslaande en uitslaande vouw is voorzien van een enkele schepbalg; windwaag en balgtrede zijn nog aanwezig (linkerzijde). De ijzeren  balggewichten zijn voorzien van de initialen A.S.J.D.</w:t>
      </w:r>
    </w:p>
    <w:p>
      <w:pPr>
        <w:pStyle w:val="Normal"/>
        <w:rPr>
          <w:iCs/>
        </w:rPr>
      </w:pPr>
      <w:r>
        <w:rPr>
          <w:iCs/>
        </w:rPr>
        <w:t>Het wellenraam onder de lade heeft houten wellen met twee rechte en twee bolle zijden. De nokken zijn van hout, de asjes ingevoerd. De wellenarmpjes (en winkelhaken claviatuur) zijn van messing.</w:t>
      </w:r>
    </w:p>
    <w:p>
      <w:pPr>
        <w:pStyle w:val="Normal"/>
        <w:rPr>
          <w:iCs/>
        </w:rPr>
      </w:pPr>
      <w:r>
        <w:rPr>
          <w:iCs/>
        </w:rPr>
        <w:t>De windlade is uitgevoerd in eiken, evenals de stempels; de pijproosters zijn van mahonie. In de ventielkast vermeldt een aantekening in potlood: “A.S.J. Dekker Goes anno 1914”. De slepen zijn voorzien van verende hulzen; alle cancellen hebben ontlaatgaatjes aan de achterzijde van de lade, afgeplakt met een textielband. In het front staan F-h van de Prestant 8' en C-A van de Prestant 4'. De grotendeels achter de middentoren afgevoerde houten C-E van de Prestant 8' zijn open en voorzien van stemschuiven. C-H van de Holpijp zijn van hout, het groot octaaf van de Gamba spreekt eveneens in deze reeks. Het vervolg van de Gamba heeft snijbaarden. De Flute Dolce is van C-f2 gedekt, het vervolg open en conisch met expressions. De Woudfluit is conisch, de bas met expressions, de discant op lengte gesneden. De Cornet is geheel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nl-NL" w:bidi="ar-SA" w:eastAsia="zh-CN"/>
    </w:rPr>
  </w:style>
  <w:style w:type="paragraph" w:styleId="Heading1">
    <w:name w:val="Heading 1"/>
    <w:basedOn w:val="Normal"/>
    <w:next w:val="Normal"/>
    <w:qFormat/>
    <w:pPr>
      <w:keepNext w:val="true"/>
      <w:widowControl w:val="false"/>
      <w:numPr>
        <w:ilvl w:val="0"/>
        <w:numId w:val="1"/>
      </w:numPr>
      <w:suppressAutoHyphens w:val="true"/>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uppressAutoHyphens w:val="true"/>
      <w:spacing w:before="240" w:after="60"/>
      <w:outlineLvl w:val="1"/>
    </w:pPr>
    <w:rPr>
      <w:rFonts w:ascii="Arial" w:hAnsi="Arial" w:cs="Arial"/>
      <w:b/>
      <w:i/>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i/>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1">
    <w:name w:val="T1"/>
    <w:basedOn w:val="Normal"/>
    <w:qFormat/>
    <w:pPr>
      <w:widowControl w:val="false"/>
      <w:suppressAutoHyphens w:val="true"/>
      <w:jc w:val="both"/>
    </w:pPr>
    <w:rPr>
      <w:spacing w:val="-3"/>
      <w:szCs w:val="20"/>
      <w:lang w:val="en-US"/>
    </w:rPr>
  </w:style>
  <w:style w:type="paragraph" w:styleId="T3Lit">
    <w:name w:val="T3 Lit"/>
    <w:basedOn w:val="Normal"/>
    <w:qFormat/>
    <w:pPr>
      <w:widowControl w:val="false"/>
      <w:suppressAutoHyphens w:val="true"/>
      <w:jc w:val="both"/>
    </w:pPr>
    <w:rPr>
      <w:rFonts w:ascii="Univers;Arial" w:hAnsi="Univers;Arial" w:cs="Univers;Arial"/>
      <w:spacing w:val="-3"/>
      <w:sz w:val="20"/>
      <w:szCs w:val="20"/>
      <w:lang w:val="en-US"/>
    </w:rPr>
  </w:style>
  <w:style w:type="paragraph" w:styleId="T4dispositie">
    <w:name w:val="T4 dispositie"/>
    <w:basedOn w:val="Normal"/>
    <w:qFormat/>
    <w:pPr>
      <w:widowControl w:val="false"/>
      <w:suppressAutoHyphens w:val="true"/>
      <w:jc w:val="both"/>
    </w:pPr>
    <w:rPr>
      <w:spacing w:val="-3"/>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2009-03-09T12:32:00Z</dcterms:created>
  <dc:creator>NIvO</dc:creator>
  <dc:description/>
  <dc:language>en-US</dc:language>
  <cp:lastModifiedBy>NIvO</cp:lastModifiedBy>
  <dcterms:modified xsi:type="dcterms:W3CDTF">2009-03-09T12:38:00Z</dcterms:modified>
  <cp:revision>1</cp:revision>
  <dc:subject/>
  <dc:title/>
</cp:coreProperties>
</file>