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Westerbroek / 1904</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Plattetekst2"/>
        <w:rPr/>
      </w:pPr>
      <w:r>
        <w:rPr/>
        <w:t>Gepleisterde rechtgesloten zaalkerk met houten geveltoren, gebouwd in 1889. In de toren een klok uit 1832. In de kerk  preekstoel en banken uit de 18e eeuw, afkomstig uit de vorige kerk.</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rPr>
      </w:pPr>
      <w:r>
        <w:rPr>
          <w:rFonts w:cs="Times New Roman" w:ascii="Times New Roman" w:hAnsi="Times New Roman"/>
          <w:spacing w:val="-3"/>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Men kan zich dit front voorstellen als een kruisbestuiving van de in Kloosterburen (1898; deel 1894-1901, 212-214) en Oldehove (1903) gerealiseerde ontwerpen. Een 'neo-Schnitgeriaans' ontwerp gemengd met een klassieke Van Oeckelen-frontopbouw. Met het Kloosterburense ontwerp (dat in 1905 met enige variaties in Ter Apel is herhaald) heeft het Westerbroekse front de spitse zijtorens en de rechthoekige onderste tussenvelden (in Westerbroek met negen pijpen) gemeen. De middentoren in Westerbroek is trapeziumvormig, een kenmerk dat we in Groningen bijvoorbeeld aantreffen in de orgels te Zeerijp (Theodorus Faber, 1651) en Uithuizen (Arp Schnitger, 1701) (deel 1479-1725, 146-149 en 288-289). Het betreft in Zeerijp een middentoren die lager is dan de zijtorens en in Uithuizen hoektorens; in beide orgels hebben deze torens een even aantal pijpen. In Westerbroek is de middentoren - die hoger is dan de zijtorens - trapeziumvormig, en ze bevat vijf pijpen. Met het orgel te Oldehove heeft dat te Westerbroek het aantal frontpijpen in de middentoren, de paneelindeling van de onderbouw en de schuin oplopende afsluiting van de bovenste tussenvelden gemeen. Bij alledrie de orgels van Van Oeckelen wordt de middentoren bekroond door een lier; de uit vegetatieve elementen bestaande opzetstukken op de zijtorens vormen in Westerbroek een geheel 'eigen' element. Het snijwerk en de vleugelstukken te Westerbroek - als gebruikelijk bij Van Oeckelen uit plantaardige motieven samengesteld - vertonen frappante overeenkomsten met dezelfde elementen in Kloosterburen, met uitzondering van het snijwerk boven aan de bovenste tussenvelden, dat sterk op dat te Oldehove gelijkt. Dat is ook niet onlogisch gezien de parallellen in de vormgeving van die bovenste tussenvelden. Zo toont ook dit orgelfront de creativiteit waarmee de Van Oeckelens omgingen met voorbeelden uit het verleden én uit het eigen oeuvre.</w:t>
      </w:r>
    </w:p>
    <w:p>
      <w:pPr>
        <w:pStyle w:val="T2Kunst"/>
        <w:jc w:val="start"/>
        <w:rPr>
          <w:lang w:val="nl-NL"/>
        </w:rPr>
      </w:pPr>
      <w:r>
        <w:rPr>
          <w:lang w:val="nl-NL"/>
        </w:rPr>
      </w:r>
    </w:p>
    <w:p>
      <w:pPr>
        <w:pStyle w:val="T3Lit"/>
        <w:rPr>
          <w:b/>
          <w:b/>
          <w:bCs/>
          <w:lang w:val="nl-NL"/>
        </w:rPr>
      </w:pPr>
      <w:r>
        <w:rPr>
          <w:b/>
          <w:bCs/>
          <w:lang w:val="nl-NL"/>
        </w:rPr>
        <w:t>Literatuur</w:t>
      </w:r>
    </w:p>
    <w:p>
      <w:pPr>
        <w:pStyle w:val="T3Lit"/>
        <w:jc w:val="start"/>
        <w:rPr/>
      </w:pPr>
      <w:r>
        <w:rPr>
          <w:i/>
          <w:lang w:val="nl-NL"/>
        </w:rPr>
        <w:t>Het Groninger Orgelbezit van Adorp tot Zijldijk. 4 Stad Groningen / Gorecht</w:t>
      </w:r>
      <w:r>
        <w:rPr>
          <w:lang w:val="nl-NL"/>
        </w:rPr>
        <w:t>. Groningen, 1997, 174-175.</w:t>
      </w:r>
    </w:p>
    <w:p>
      <w:pPr>
        <w:pStyle w:val="T3Lit"/>
        <w:rPr/>
      </w:pPr>
      <w:r>
        <w:rPr>
          <w:i/>
          <w:lang w:val="nl-NL"/>
        </w:rPr>
        <w:t>De Orgelvriend</w:t>
      </w:r>
      <w:r>
        <w:rPr>
          <w:lang w:val="nl-NL"/>
        </w:rPr>
        <w:t>, 17/11 (1975), 21.</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Mense Ruiter orgelmakers</w:t>
      </w:r>
    </w:p>
    <w:p>
      <w:pPr>
        <w:pStyle w:val="T3Lit"/>
        <w:rPr>
          <w:lang w:val="nl-NL"/>
        </w:rPr>
      </w:pPr>
      <w:r>
        <w:rPr>
          <w:lang w:val="nl-NL"/>
        </w:rPr>
        <w:t>Orgelarchief Peter van Dijk</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van Oeckelen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Mense Ruiter 1977</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2003</w:t>
      </w:r>
    </w:p>
    <w:p>
      <w:pPr>
        <w:pStyle w:val="T1"/>
        <w:numPr>
          <w:ilvl w:val="0"/>
          <w:numId w:val="2"/>
        </w:numPr>
        <w:jc w:val="start"/>
        <w:rPr>
          <w:lang w:val="nl-NL"/>
        </w:rPr>
      </w:pPr>
      <w:r>
        <w:rPr>
          <w:lang w:val="nl-NL"/>
        </w:rPr>
        <w:t>bij de kerkrestauratie is de orgelkas ten naaste bij in de oorspronkelijke kleurstelling (houtimitatie) overgeschilderd en zijn de ontbrekende snijwerkdelen aangevuld.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snapToGrid w:val="fals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Holpyp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Woudfluit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C-a</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enkelvouwige magazijnbalg met twee schepbalgen en handpomp (1904)</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Opmerkelijk in de dispositie is het ontbreken van een Viola di Gamba 8', zonder twijfel om financiële redenen. Vanaf de jaren 1890 waren de Van Oeckelens in een concurrentiestrijd met J. Doornbos verwikkeld en in toenemende mate won diens gunstige prijsstelling het van de goede reputatie die Van Oeckelen-orgels genoten.</w:t>
      </w:r>
    </w:p>
    <w:p>
      <w:pPr>
        <w:pStyle w:val="T1"/>
        <w:jc w:val="start"/>
        <w:rPr>
          <w:lang w:val="nl-NL"/>
        </w:rPr>
      </w:pPr>
      <w:r>
        <w:rPr>
          <w:lang w:val="nl-NL"/>
        </w:rPr>
        <w:t>Het pijpwerk is in hele tonen op een ongedeeld lade geplaatst en loopt in grootte vanuit het midden naar de zijkanten af.</w:t>
      </w:r>
    </w:p>
    <w:p>
      <w:pPr>
        <w:pStyle w:val="T1"/>
        <w:jc w:val="start"/>
        <w:rPr/>
      </w:pPr>
      <w:r>
        <w:rPr>
          <w:lang w:val="nl-NL"/>
        </w:rPr>
        <w:t>De Prestant 8' is van C-E gecombineerd met de Holpyp 8'. Evenals in Kloosterburen is F de grootste frontpijp (zes-voets front); de Prestant 8' staat van F-h in het front. De Bourdon 16' begint op c en is van c-h van hout. Van de Holpyp 8' is C-H van hout. De Fluit 4' is van C-f</w:t>
      </w:r>
      <w:r>
        <w:rPr>
          <w:vertAlign w:val="superscript"/>
          <w:lang w:val="nl-NL"/>
        </w:rPr>
        <w:t>2</w:t>
      </w:r>
      <w:r>
        <w:rPr>
          <w:lang w:val="nl-NL"/>
        </w:rPr>
        <w:t xml:space="preserve"> gedekt en verder open, conisch. De Woudfluit 2' is open cilindrisch; dit register bevat enkele kleinere oudere pijpjes van vooralsnog onbekende herkomst.</w:t>
      </w:r>
    </w:p>
    <w:p>
      <w:pPr>
        <w:pStyle w:val="T1"/>
        <w:jc w:val="start"/>
        <w:rPr/>
      </w:pPr>
      <w:r>
        <w:rPr>
          <w:lang w:val="nl-NL"/>
        </w:rPr>
        <w:t>Expressions zijn aangebracht in de Prestant 8' (F-cis</w:t>
      </w:r>
      <w:r>
        <w:rPr>
          <w:vertAlign w:val="superscript"/>
          <w:lang w:val="nl-NL"/>
        </w:rPr>
        <w:t>3</w:t>
      </w:r>
      <w:r>
        <w:rPr>
          <w:lang w:val="nl-NL"/>
        </w:rPr>
        <w:t>), de Octaaf 4' (C-e</w:t>
      </w:r>
      <w:r>
        <w:rPr>
          <w:vertAlign w:val="superscript"/>
          <w:lang w:val="nl-NL"/>
        </w:rPr>
        <w:t>2</w:t>
      </w:r>
      <w:r>
        <w:rPr>
          <w:lang w:val="nl-NL"/>
        </w:rPr>
        <w:t>) en de Woudfluit 2' (C-f</w:t>
      </w:r>
      <w:r>
        <w:rPr>
          <w:vertAlign w:val="superscript"/>
          <w:lang w:val="nl-NL"/>
        </w:rPr>
        <w:t>1</w:t>
      </w:r>
      <w:r>
        <w:rPr>
          <w:lang w:val="nl-NL"/>
        </w:rPr>
        <w:t>); het overige open pijpwerk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WWAbsatzStandardschriftart">
    <w:name w:val="WW-Absatz-Standardschriftart"/>
    <w:qFormat/>
    <w:rPr/>
  </w:style>
  <w:style w:type="character" w:styleId="WWStandaardalinealettertype1">
    <w:name w:val="WW-Standaardalinea-lettertype1"/>
    <w:qFormat/>
    <w:rPr/>
  </w:style>
  <w:style w:type="paragraph" w:styleId="Heading">
    <w:name w:val="Heading"/>
    <w:basedOn w:val="Normal"/>
    <w:next w:val="Subtitle"/>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Subtitle">
    <w:name w:val="Subtitle"/>
    <w:basedOn w:val="Kop"/>
    <w:next w:val="TextBody"/>
    <w:qFormat/>
    <w:pPr>
      <w:jc w:val="center"/>
    </w:pPr>
    <w:rPr>
      <w:i/>
      <w:iCs/>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13680" w:leader="dot"/>
      </w:tabs>
      <w:autoSpaceDE w:val="false"/>
      <w:spacing w:lineRule="atLeast" w:line="240"/>
      <w:ind w:start="2160" w:end="720" w:hanging="720"/>
    </w:pPr>
    <w:rPr>
      <w:rFonts w:cs="Courier New"/>
      <w:szCs w:val="24"/>
      <w:lang w:val="en-US"/>
    </w:rPr>
  </w:style>
  <w:style w:type="paragraph" w:styleId="Plattetekst2">
    <w:name w:val="Platte tekst 2"/>
    <w:basedOn w:val="Normal"/>
    <w:qFormat/>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pPr>
    <w:rPr>
      <w:rFonts w:ascii="Times New Roman" w:hAnsi="Times New Roman" w:cs="Times New Roman"/>
      <w:i/>
      <w:iCs/>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2009-03-31T10:41:00Z</dcterms:created>
  <dc:creator>WS1</dc:creator>
  <dc:description/>
  <dc:language>en-US</dc:language>
  <cp:lastModifiedBy>NIvO</cp:lastModifiedBy>
  <dcterms:modified xsi:type="dcterms:W3CDTF">2009-10-02T10:39:00Z</dcterms:modified>
  <cp:revision>6</cp:revision>
  <dc:subject/>
  <dc:title>Niekerk (Hunsingo) / 1883</dc:title>
</cp:coreProperties>
</file>