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Wolvega (Wolvegea) / 1910</w:t>
      </w:r>
    </w:p>
    <w:p>
      <w:pPr>
        <w:pStyle w:val="Heading2"/>
        <w:rPr>
          <w:i w:val="false"/>
          <w:i w:val="false"/>
          <w:iCs/>
        </w:rPr>
      </w:pPr>
      <w:r>
        <w:rPr>
          <w:i w:val="false"/>
          <w:iCs/>
        </w:rPr>
        <w:t>Ichtuskerk (voormalige Gereformeerde Kerk)</w:t>
      </w:r>
    </w:p>
    <w:p>
      <w:pPr>
        <w:pStyle w:val="T1"/>
        <w:jc w:val="start"/>
        <w:rPr>
          <w:i/>
          <w:i/>
          <w:iCs/>
          <w:lang w:val="nl-NL"/>
        </w:rPr>
      </w:pPr>
      <w:r>
        <w:rPr>
          <w:i/>
          <w:iCs/>
          <w:lang w:val="nl-NL"/>
        </w:rPr>
      </w:r>
    </w:p>
    <w:p>
      <w:pPr>
        <w:pStyle w:val="T1"/>
        <w:jc w:val="start"/>
        <w:rPr>
          <w:i/>
          <w:i/>
          <w:iCs/>
          <w:lang w:val="nl-NL"/>
        </w:rPr>
      </w:pPr>
      <w:r>
        <w:rPr>
          <w:i/>
          <w:iCs/>
          <w:lang w:val="nl-NL"/>
        </w:rPr>
        <w:t>Kerk op kruisvormige plattegrond met forse dakruiter op de viering. Gebouwd in 1923 naar ontwerp van A. Nauta. Hoofdingang met in metselwerk uitgevoerde sierelementen.</w:t>
      </w:r>
    </w:p>
    <w:p>
      <w:pPr>
        <w:pStyle w:val="T1"/>
        <w:jc w:val="start"/>
        <w:rPr>
          <w:i/>
          <w:i/>
          <w:iCs/>
          <w:lang w:val="nl-NL"/>
        </w:rPr>
      </w:pPr>
      <w:r>
        <w:rPr>
          <w:i/>
          <w:iCs/>
          <w:lang w:val="nl-NL"/>
        </w:rPr>
        <w:t>Inwendig een gave houten kap met zichtbare spanten, vensters met gekleurd glas-in-lood en gebrandschilderde abstracte ornamenten in art-deco-trant. Kansel gemoderniseerd, banken geheel vernieuwd.</w:t>
      </w:r>
    </w:p>
    <w:p>
      <w:pPr>
        <w:pStyle w:val="T1"/>
        <w:jc w:val="start"/>
        <w:rPr>
          <w:i/>
          <w:i/>
          <w:iCs/>
          <w:lang w:val="nl-NL"/>
        </w:rPr>
      </w:pPr>
      <w:r>
        <w:rPr>
          <w:i/>
          <w:iCs/>
          <w:lang w:val="nl-NL"/>
        </w:rPr>
      </w:r>
    </w:p>
    <w:p>
      <w:pPr>
        <w:pStyle w:val="T1"/>
        <w:jc w:val="start"/>
        <w:rPr>
          <w:lang w:val="nl-NL"/>
        </w:rPr>
      </w:pPr>
      <w:r>
        <w:rPr>
          <w:lang w:val="nl-NL"/>
        </w:rPr>
        <w:t>Kas: 1910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front van het type Wouterswoude, hier in de grootste variant, met acht-voets Prestant vanaf groot C in het front en tussenvelden van elk negen pijpen, geschikt voor een orgel met volledige Bourdon 16'.</w:t>
      </w:r>
    </w:p>
    <w:p>
      <w:pPr>
        <w:pStyle w:val="T2Kunst"/>
        <w:jc w:val="start"/>
        <w:rPr>
          <w:lang w:val="nl-NL"/>
        </w:rPr>
      </w:pPr>
      <w:r>
        <w:rPr>
          <w:lang w:val="nl-NL"/>
        </w:rPr>
        <w:t>Ornamentiek in onbekrompen uitvoering, levendig gesneden. Laag gehouden blinderingen bij de pijpvoeten, ruimer opgezette blinderingen bij de boveneinden van de pijpen. Bij de tussenvelden ornament van summiere aard. De thema’s bestaan ook hier weer uit voluutvormen en plantaardige motieven. Bij de opzetstukken is dat ook het geval, bij de middentoren wordt het opzetstuk traditiegetrouw bekroond door een lier.</w:t>
      </w:r>
    </w:p>
    <w:p>
      <w:pPr>
        <w:pStyle w:val="T2Kunst"/>
        <w:jc w:val="start"/>
        <w:rPr>
          <w:lang w:val="nl-NL"/>
        </w:rPr>
      </w:pPr>
      <w:r>
        <w:rPr>
          <w:lang w:val="nl-NL"/>
        </w:rPr>
        <w:t>De vleugels zijn van het type met wijnrank en vogeltje.</w:t>
      </w:r>
    </w:p>
    <w:p>
      <w:pPr>
        <w:pStyle w:val="T2Kunst"/>
        <w:jc w:val="start"/>
        <w:rPr>
          <w:lang w:val="nl-NL"/>
        </w:rPr>
      </w:pPr>
      <w:r>
        <w:rPr>
          <w:lang w:val="nl-NL"/>
        </w:rPr>
        <w:t>De huidige kleurstelling is aangebracht in het kader van de jongste kerkrestauratie.</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214.</w:t>
      </w:r>
    </w:p>
    <w:p>
      <w:pPr>
        <w:pStyle w:val="T3Lit"/>
        <w:rPr/>
      </w:pPr>
      <w:r>
        <w:rPr>
          <w:i/>
          <w:lang w:val="nl-NL"/>
        </w:rPr>
        <w:t>Het Orgel</w:t>
      </w:r>
      <w:r>
        <w:rPr>
          <w:lang w:val="nl-NL"/>
        </w:rPr>
        <w:t>, 50/1 (1954), 12.</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Orgelnummer 1701</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Bakker &amp; Timmenga</w:t>
      </w:r>
    </w:p>
    <w:p>
      <w:pPr>
        <w:pStyle w:val="T1"/>
        <w:jc w:val="start"/>
        <w:rPr>
          <w:lang w:val="nl-NL"/>
        </w:rPr>
      </w:pPr>
      <w:r>
        <w:rPr>
          <w:lang w:val="nl-NL"/>
        </w:rPr>
        <w:t>2. Mense Ruiter</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1. 1910</w:t>
      </w:r>
    </w:p>
    <w:p>
      <w:pPr>
        <w:pStyle w:val="T1"/>
        <w:jc w:val="start"/>
        <w:rPr>
          <w:lang w:val="nl-NL"/>
        </w:rPr>
      </w:pPr>
      <w:r>
        <w:rPr>
          <w:lang w:val="nl-NL"/>
        </w:rPr>
        <w:t>2. 1953</w:t>
      </w:r>
    </w:p>
    <w:p>
      <w:pPr>
        <w:pStyle w:val="T1"/>
        <w:jc w:val="start"/>
        <w:rPr>
          <w:lang w:val="nl-NL"/>
        </w:rPr>
      </w:pPr>
      <w:r>
        <w:rPr>
          <w:lang w:val="nl-NL"/>
        </w:rPr>
      </w:r>
    </w:p>
    <w:p>
      <w:pPr>
        <w:pStyle w:val="T1"/>
        <w:jc w:val="start"/>
        <w:rPr/>
      </w:pPr>
      <w:r>
        <w:rPr/>
        <w:t>Dispositie 1910</w:t>
      </w:r>
    </w:p>
    <w:tbl>
      <w:tblPr>
        <w:tblW w:w="2497" w:type="dxa"/>
        <w:jc w:val="start"/>
        <w:tblInd w:w="-7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r>
    </w:tbl>
    <w:p>
      <w:pPr>
        <w:pStyle w:val="T1"/>
        <w:jc w:val="start"/>
        <w:rPr>
          <w:sz w:val="20"/>
          <w:lang w:val="nl-NL"/>
        </w:rPr>
      </w:pPr>
      <w:r>
        <w:rPr>
          <w:sz w:val="20"/>
          <w:lang w:val="nl-NL"/>
        </w:rPr>
      </w:r>
    </w:p>
    <w:p>
      <w:pPr>
        <w:pStyle w:val="T1"/>
        <w:jc w:val="start"/>
        <w:rPr>
          <w:sz w:val="20"/>
          <w:lang w:val="nl-NL"/>
        </w:rPr>
      </w:pPr>
      <w:r>
        <w:rPr>
          <w:sz w:val="20"/>
          <w:lang w:val="nl-NL"/>
        </w:rPr>
        <w:t>open plaats</w:t>
      </w:r>
    </w:p>
    <w:p>
      <w:pPr>
        <w:pStyle w:val="T1"/>
        <w:jc w:val="start"/>
        <w:rPr>
          <w:sz w:val="20"/>
          <w:lang w:val="nl-NL"/>
        </w:rPr>
      </w:pPr>
      <w:r>
        <w:rPr>
          <w:sz w:val="20"/>
          <w:lang w:val="nl-NL"/>
        </w:rPr>
        <w:t>ventiel</w:t>
      </w:r>
    </w:p>
    <w:p>
      <w:pPr>
        <w:pStyle w:val="T1"/>
        <w:jc w:val="start"/>
        <w:rPr/>
      </w:pPr>
      <w:r>
        <w:rPr>
          <w:sz w:val="20"/>
          <w:lang w:val="nl-NL"/>
        </w:rPr>
        <w:t>aangehangen pedaal, volgens bestek C-c</w:t>
      </w:r>
      <w:r>
        <w:rPr>
          <w:sz w:val="20"/>
          <w:vertAlign w:val="superscript"/>
          <w:lang w:val="nl-NL"/>
        </w:rPr>
        <w:t>1</w:t>
      </w:r>
    </w:p>
    <w:p>
      <w:pPr>
        <w:pStyle w:val="T1"/>
        <w:jc w:val="start"/>
        <w:rPr>
          <w:sz w:val="20"/>
          <w:vertAlign w:val="superscript"/>
          <w:lang w:val="nl-NL"/>
        </w:rPr>
      </w:pPr>
      <w:r>
        <w:rPr>
          <w:sz w:val="20"/>
          <w:vertAlign w:val="superscript"/>
          <w:lang w:val="nl-NL"/>
        </w:rPr>
      </w:r>
    </w:p>
    <w:p>
      <w:pPr>
        <w:pStyle w:val="T1"/>
        <w:jc w:val="start"/>
        <w:rPr>
          <w:lang w:val="nl-NL"/>
        </w:rPr>
      </w:pPr>
      <w:r>
        <w:rPr>
          <w:lang w:val="nl-NL"/>
        </w:rPr>
        <w:t>Bakker &amp; Timmenga 1923</w:t>
      </w:r>
    </w:p>
    <w:p>
      <w:pPr>
        <w:pStyle w:val="T1"/>
        <w:numPr>
          <w:ilvl w:val="0"/>
          <w:numId w:val="4"/>
        </w:numPr>
        <w:jc w:val="start"/>
        <w:rPr>
          <w:lang w:val="nl-NL"/>
        </w:rPr>
      </w:pPr>
      <w:r>
        <w:rPr>
          <w:lang w:val="nl-NL"/>
        </w:rPr>
        <w:t>orgel overgeplaatst naar nieuw kerkgebouw</w:t>
      </w:r>
    </w:p>
    <w:p>
      <w:pPr>
        <w:pStyle w:val="T1"/>
        <w:jc w:val="start"/>
        <w:rPr>
          <w:lang w:val="nl-NL"/>
        </w:rPr>
      </w:pPr>
      <w:r>
        <w:rPr>
          <w:lang w:val="nl-NL"/>
        </w:rPr>
      </w:r>
    </w:p>
    <w:p>
      <w:pPr>
        <w:pStyle w:val="T1"/>
        <w:jc w:val="start"/>
        <w:rPr>
          <w:lang w:val="nl-NL"/>
        </w:rPr>
      </w:pPr>
      <w:r>
        <w:rPr>
          <w:lang w:val="nl-NL"/>
        </w:rPr>
        <w:t>Mense Ruiter 1953</w:t>
      </w:r>
    </w:p>
    <w:p>
      <w:pPr>
        <w:pStyle w:val="T1"/>
        <w:numPr>
          <w:ilvl w:val="0"/>
          <w:numId w:val="4"/>
        </w:numPr>
        <w:jc w:val="start"/>
        <w:rPr>
          <w:lang w:val="nl-NL"/>
        </w:rPr>
      </w:pPr>
      <w:r>
        <w:rPr>
          <w:lang w:val="nl-NL"/>
        </w:rPr>
        <w:t>orgel verbouwd en uitgebreid met NW en Ped</w:t>
      </w:r>
    </w:p>
    <w:p>
      <w:pPr>
        <w:pStyle w:val="T1"/>
        <w:numPr>
          <w:ilvl w:val="0"/>
          <w:numId w:val="4"/>
        </w:numPr>
        <w:jc w:val="start"/>
        <w:rPr>
          <w:lang w:val="nl-NL"/>
        </w:rPr>
      </w:pPr>
      <w:r>
        <w:rPr>
          <w:lang w:val="nl-NL"/>
        </w:rPr>
        <w:t>nieuwe klaviatuur; nieuwe mechanieken voor NW</w:t>
      </w:r>
    </w:p>
    <w:p>
      <w:pPr>
        <w:pStyle w:val="T1"/>
        <w:numPr>
          <w:ilvl w:val="0"/>
          <w:numId w:val="4"/>
        </w:numPr>
        <w:jc w:val="start"/>
        <w:rPr>
          <w:lang w:val="nl-NL"/>
        </w:rPr>
      </w:pPr>
      <w:r>
        <w:rPr>
          <w:lang w:val="nl-NL"/>
        </w:rPr>
        <w:t>restauratie bestaande lade; slepen vervangen</w:t>
      </w:r>
    </w:p>
    <w:p>
      <w:pPr>
        <w:pStyle w:val="T1"/>
        <w:numPr>
          <w:ilvl w:val="0"/>
          <w:numId w:val="4"/>
        </w:numPr>
        <w:jc w:val="start"/>
        <w:rPr>
          <w:lang w:val="nl-NL"/>
        </w:rPr>
      </w:pPr>
      <w:r>
        <w:rPr>
          <w:lang w:val="nl-NL"/>
        </w:rPr>
        <w:t>nieuwe sleeplade NW, nieuwe elektrische unitlade Ped</w:t>
      </w:r>
    </w:p>
    <w:p>
      <w:pPr>
        <w:pStyle w:val="T1"/>
        <w:numPr>
          <w:ilvl w:val="0"/>
          <w:numId w:val="4"/>
        </w:numPr>
        <w:jc w:val="start"/>
        <w:rPr>
          <w:lang w:val="nl-NL"/>
        </w:rPr>
      </w:pPr>
      <w:r>
        <w:rPr>
          <w:lang w:val="nl-NL"/>
        </w:rPr>
        <w:t>dispositie Man gewijzigd</w:t>
      </w:r>
    </w:p>
    <w:p>
      <w:pPr>
        <w:pStyle w:val="T1"/>
        <w:jc w:val="start"/>
        <w:rPr>
          <w:lang w:val="nl-NL"/>
        </w:rPr>
      </w:pPr>
      <w:r>
        <w:rPr>
          <w:lang w:val="nl-NL"/>
        </w:rPr>
      </w:r>
    </w:p>
    <w:p>
      <w:pPr>
        <w:pStyle w:val="T1"/>
        <w:jc w:val="start"/>
        <w:rPr>
          <w:lang w:val="nl-NL"/>
        </w:rPr>
      </w:pPr>
      <w:r>
        <w:rPr>
          <w:lang w:val="nl-NL"/>
        </w:rPr>
        <w:t>E.F. Walcker &amp; Cie 1982</w:t>
      </w:r>
    </w:p>
    <w:p>
      <w:pPr>
        <w:pStyle w:val="T1"/>
        <w:numPr>
          <w:ilvl w:val="0"/>
          <w:numId w:val="3"/>
        </w:numPr>
        <w:jc w:val="start"/>
        <w:rPr>
          <w:lang w:val="nl-NL"/>
        </w:rPr>
      </w:pPr>
      <w:r>
        <w:rPr>
          <w:lang w:val="nl-NL"/>
        </w:rPr>
        <w:t>balg hersteld</w:t>
      </w:r>
    </w:p>
    <w:p>
      <w:pPr>
        <w:pStyle w:val="T1"/>
        <w:numPr>
          <w:ilvl w:val="0"/>
          <w:numId w:val="3"/>
        </w:numPr>
        <w:jc w:val="start"/>
        <w:rPr>
          <w:lang w:val="nl-NL"/>
        </w:rPr>
      </w:pPr>
      <w:r>
        <w:rPr>
          <w:lang w:val="nl-NL"/>
        </w:rPr>
        <w:t>pedaalcontacten afgeregeld</w:t>
      </w:r>
    </w:p>
    <w:p>
      <w:pPr>
        <w:pStyle w:val="T1"/>
        <w:numPr>
          <w:ilvl w:val="0"/>
          <w:numId w:val="3"/>
        </w:numPr>
        <w:jc w:val="start"/>
        <w:rPr>
          <w:lang w:val="nl-NL"/>
        </w:rPr>
      </w:pPr>
      <w:r>
        <w:rPr>
          <w:lang w:val="nl-NL"/>
        </w:rPr>
        <w:t>herintonatie Trompet 8'</w:t>
      </w:r>
    </w:p>
    <w:p>
      <w:pPr>
        <w:pStyle w:val="T1"/>
        <w:jc w:val="start"/>
        <w:rPr>
          <w:lang w:val="nl-NL"/>
        </w:rPr>
      </w:pPr>
      <w:r>
        <w:rPr>
          <w:lang w:val="nl-NL"/>
        </w:rPr>
      </w:r>
    </w:p>
    <w:p>
      <w:pPr>
        <w:pStyle w:val="T1"/>
        <w:jc w:val="start"/>
        <w:rPr>
          <w:lang w:val="nl-NL"/>
        </w:rPr>
      </w:pPr>
      <w:r>
        <w:rPr>
          <w:lang w:val="nl-NL"/>
        </w:rPr>
        <w:t>Orgelmakerij Bakker &amp; Timmenga 1994</w:t>
      </w:r>
    </w:p>
    <w:p>
      <w:pPr>
        <w:pStyle w:val="T1"/>
        <w:numPr>
          <w:ilvl w:val="0"/>
          <w:numId w:val="2"/>
        </w:numPr>
        <w:jc w:val="start"/>
        <w:rPr>
          <w:lang w:val="nl-NL"/>
        </w:rPr>
      </w:pPr>
      <w:r>
        <w:rPr>
          <w:lang w:val="nl-NL"/>
        </w:rPr>
        <w:t>orgel schoongemaakt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730" w:type="dxa"/>
        <w:jc w:val="start"/>
        <w:tblInd w:w="-70" w:type="dxa"/>
        <w:tblLayout w:type="fixed"/>
        <w:tblCellMar>
          <w:top w:w="0" w:type="dxa"/>
          <w:start w:w="70" w:type="dxa"/>
          <w:bottom w:w="0" w:type="dxa"/>
          <w:end w:w="70" w:type="dxa"/>
        </w:tblCellMar>
      </w:tblPr>
      <w:tblGrid>
        <w:gridCol w:w="1690"/>
        <w:gridCol w:w="741"/>
        <w:gridCol w:w="1599"/>
        <w:gridCol w:w="720"/>
        <w:gridCol w:w="1260"/>
        <w:gridCol w:w="72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4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3-6 st.</w:t>
            </w:r>
          </w:p>
          <w:p>
            <w:pPr>
              <w:pStyle w:val="T4dispositie"/>
              <w:rPr>
                <w:lang w:val="nl-NL"/>
              </w:rPr>
            </w:pPr>
            <w:r>
              <w:rPr>
                <w:lang w:val="nl-NL"/>
              </w:rPr>
              <w:t>8'</w:t>
            </w:r>
          </w:p>
        </w:tc>
        <w:tc>
          <w:tcPr>
            <w:tcW w:w="1599" w:type="dxa"/>
            <w:tcBorders/>
          </w:tcPr>
          <w:p>
            <w:pPr>
              <w:pStyle w:val="T4dispositie"/>
              <w:rPr>
                <w:i/>
                <w:i/>
                <w:iCs/>
                <w:lang w:val="nl-NL"/>
              </w:rPr>
            </w:pPr>
            <w:r>
              <w:rPr>
                <w:i/>
                <w:iCs/>
                <w:lang w:val="nl-NL"/>
              </w:rPr>
              <w:t>Nevenwerk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Viola</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Scherp</w:t>
            </w:r>
          </w:p>
          <w:p>
            <w:pPr>
              <w:pStyle w:val="T4dispositie"/>
              <w:rPr>
                <w:lang w:val="nl-NL"/>
              </w:rPr>
            </w:pPr>
            <w:r>
              <w:rPr>
                <w:lang w:val="nl-NL"/>
              </w:rPr>
              <w:t>Sesquialter D</w:t>
            </w:r>
          </w:p>
          <w:p>
            <w:pPr>
              <w:pStyle w:val="T4dispositie"/>
              <w:rPr>
                <w:lang w:val="nl-NL"/>
              </w:rPr>
            </w:pPr>
            <w:r>
              <w:rPr>
                <w:lang w:val="nl-NL"/>
              </w:rPr>
              <w:t>Dulciaan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3 st.</w:t>
            </w:r>
          </w:p>
          <w:p>
            <w:pPr>
              <w:pStyle w:val="T4dispositie"/>
              <w:rPr>
                <w:lang w:val="nl-NL"/>
              </w:rPr>
            </w:pPr>
            <w:r>
              <w:rPr>
                <w:lang w:val="nl-NL"/>
              </w:rPr>
              <w:t>2 st.</w:t>
            </w:r>
          </w:p>
          <w:p>
            <w:pPr>
              <w:pStyle w:val="T4dispositie"/>
              <w:rPr>
                <w:lang w:val="nl-NL"/>
              </w:rPr>
            </w:pPr>
            <w:r>
              <w:rPr>
                <w:lang w:val="nl-NL"/>
              </w:rPr>
              <w:t>8'</w:t>
            </w:r>
          </w:p>
        </w:tc>
        <w:tc>
          <w:tcPr>
            <w:tcW w:w="1260"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Bourdon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p>
            <w:pPr>
              <w:pStyle w:val="T4dispositie"/>
              <w:rPr>
                <w:lang w:val="nl-NL"/>
              </w:rPr>
            </w:pPr>
            <w:r>
              <w:rPr>
                <w:lang w:val="nl-NL"/>
              </w:rPr>
              <w:t>8'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w:t>
      </w:r>
    </w:p>
    <w:p>
      <w:pPr>
        <w:pStyle w:val="T1"/>
        <w:jc w:val="start"/>
        <w:rPr>
          <w:lang w:val="nl-NL"/>
        </w:rPr>
      </w:pPr>
      <w:r>
        <w:rPr>
          <w:lang w:val="nl-NL"/>
        </w:rPr>
        <w:t>tremulant NW</w:t>
      </w:r>
    </w:p>
    <w:p>
      <w:pPr>
        <w:pStyle w:val="T1"/>
        <w:jc w:val="start"/>
        <w:rPr>
          <w:lang w:val="nl-NL"/>
        </w:rPr>
      </w:pPr>
      <w:r>
        <w:rPr>
          <w:lang w:val="nl-NL"/>
        </w:rPr>
      </w:r>
    </w:p>
    <w:p>
      <w:pPr>
        <w:pStyle w:val="T1"/>
        <w:jc w:val="start"/>
        <w:rPr>
          <w:lang w:val="nl-NL"/>
        </w:rPr>
      </w:pPr>
      <w:r>
        <w:rPr>
          <w:lang w:val="nl-NL"/>
        </w:rPr>
        <w:t>Samenstelling vulstemmen</w:t>
      </w:r>
    </w:p>
    <w:tbl>
      <w:tblPr>
        <w:tblW w:w="4930" w:type="dxa"/>
        <w:jc w:val="start"/>
        <w:tblInd w:w="-70" w:type="dxa"/>
        <w:tblLayout w:type="fixed"/>
        <w:tblCellMar>
          <w:top w:w="0" w:type="dxa"/>
          <w:start w:w="70" w:type="dxa"/>
          <w:bottom w:w="0" w:type="dxa"/>
          <w:end w:w="70" w:type="dxa"/>
        </w:tblCellMar>
      </w:tblPr>
      <w:tblGrid>
        <w:gridCol w:w="1510"/>
        <w:gridCol w:w="720"/>
        <w:gridCol w:w="540"/>
        <w:gridCol w:w="720"/>
        <w:gridCol w:w="720"/>
        <w:gridCol w:w="720"/>
      </w:tblGrid>
      <w:tr>
        <w:trPr/>
        <w:tc>
          <w:tcPr>
            <w:tcW w:w="1510" w:type="dxa"/>
            <w:tcBorders/>
          </w:tcPr>
          <w:p>
            <w:pPr>
              <w:pStyle w:val="T1"/>
              <w:jc w:val="start"/>
              <w:rPr>
                <w:lang w:val="nl-NL"/>
              </w:rPr>
            </w:pPr>
            <w:r>
              <w:rPr>
                <w:lang w:val="nl-NL"/>
              </w:rPr>
              <w:t>Mixtuur HW</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54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3903" w:type="dxa"/>
        <w:jc w:val="start"/>
        <w:tblInd w:w="-70" w:type="dxa"/>
        <w:tblLayout w:type="fixed"/>
        <w:tblCellMar>
          <w:top w:w="0" w:type="dxa"/>
          <w:start w:w="70" w:type="dxa"/>
          <w:bottom w:w="0" w:type="dxa"/>
          <w:end w:w="70" w:type="dxa"/>
        </w:tblCellMar>
      </w:tblPr>
      <w:tblGrid>
        <w:gridCol w:w="1357"/>
        <w:gridCol w:w="555"/>
        <w:gridCol w:w="555"/>
        <w:gridCol w:w="718"/>
        <w:gridCol w:w="718"/>
      </w:tblGrid>
      <w:tr>
        <w:trPr/>
        <w:tc>
          <w:tcPr>
            <w:tcW w:w="1357" w:type="dxa"/>
            <w:tcBorders/>
          </w:tcPr>
          <w:p>
            <w:pPr>
              <w:pStyle w:val="T1"/>
              <w:jc w:val="start"/>
              <w:rPr>
                <w:lang w:val="nl-NL"/>
              </w:rPr>
            </w:pPr>
            <w:r>
              <w:rPr>
                <w:lang w:val="nl-NL"/>
              </w:rPr>
              <w:t>Scherp NW</w:t>
            </w:r>
          </w:p>
        </w:tc>
        <w:tc>
          <w:tcPr>
            <w:tcW w:w="555"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555" w:type="dxa"/>
            <w:tcBorders/>
          </w:tcPr>
          <w:p>
            <w:pPr>
              <w:pStyle w:val="T4dispositie"/>
              <w:rPr/>
            </w:pPr>
            <w:r>
              <w:rPr>
                <w:lang w:val="nl-NL"/>
              </w:rPr>
              <w:t>g</w:t>
            </w:r>
            <w:r>
              <w:rPr>
                <w:vertAlign w:val="superscript"/>
                <w:lang w:val="nl-NL"/>
              </w:rPr>
              <w:t>1</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 xml:space="preserve">Sesquialter NW   </w:t>
      </w:r>
      <w:r>
        <w:rPr>
          <w:sz w:val="20"/>
          <w:lang w:val="nl-NL"/>
        </w:rPr>
        <w:t>c</w:t>
      </w:r>
      <w:r>
        <w:rPr>
          <w:sz w:val="20"/>
          <w:vertAlign w:val="superscript"/>
          <w:lang w:val="nl-NL"/>
        </w:rPr>
        <w:t>1</w:t>
      </w:r>
      <w:r>
        <w:rPr>
          <w:sz w:val="20"/>
          <w:lang w:val="nl-NL"/>
        </w:rPr>
        <w:t xml:space="preserve">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(1910)</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Bourdon B/D 16' tussen H en c.</w:t>
      </w:r>
    </w:p>
    <w:p>
      <w:pPr>
        <w:pStyle w:val="T1"/>
        <w:jc w:val="start"/>
        <w:rPr/>
      </w:pPr>
      <w:r>
        <w:rPr>
          <w:lang w:val="nl-NL"/>
        </w:rPr>
        <w:t>Bij de uitbreiding van 1953 zijn de kasdiepte geheel, en de technische aanleg van lade en windvoorziening van 1910 grotendeels intact gebleven. Het pijpwerk van C-d</w:t>
      </w:r>
      <w:r>
        <w:rPr>
          <w:vertAlign w:val="superscript"/>
          <w:lang w:val="nl-NL"/>
        </w:rPr>
        <w:t>2</w:t>
      </w:r>
      <w:r>
        <w:rPr>
          <w:lang w:val="nl-NL"/>
        </w:rPr>
        <w:t xml:space="preserve"> van de Bourdon 16', waarvan het basgedeelte opzij, tegen de linker zijwand was geplaatst, is uit het orgel genomen en zonder omsluiting achter het orgel op een elektrische unitlade voor het Ped geplaatst. De Bourdon 16' HW is tot en met d</w:t>
      </w:r>
      <w:r>
        <w:rPr>
          <w:vertAlign w:val="superscript"/>
          <w:lang w:val="nl-NL"/>
        </w:rPr>
        <w:t>2</w:t>
      </w:r>
      <w:r>
        <w:rPr>
          <w:lang w:val="nl-NL"/>
        </w:rPr>
        <w:t xml:space="preserve"> gecombineerd met de pedaalregisters.</w:t>
      </w:r>
    </w:p>
    <w:p>
      <w:pPr>
        <w:pStyle w:val="T1"/>
        <w:jc w:val="start"/>
        <w:rPr>
          <w:lang w:val="nl-NL"/>
        </w:rPr>
      </w:pPr>
      <w:r>
        <w:rPr>
          <w:lang w:val="nl-NL"/>
        </w:rPr>
        <w:t>In de vrijgekomen ruimte is een chromatisch ingedeelde sleeplade voor het NW geplaatst met het tongwerk aan de zijde van de kastwand, waar een luik uitneembaar is ten behoeve van het stemmen. Het speelmechaniek is onder het walsraam HW naar de andere zijde geleid. Voor het NW werden drie registers van 1910 van het bestaande werk gebruikt: Viola 8', Fluit 4' en Cornet (door weglating van het vier-voets koor gereduceerd tot Sesquialter). Op de vrijgekomen plaatsen op de bestaande lade werden andere registers geplaatst, op de nog steeds gereserveerde trompetsleep kwam een Trompet 8'.</w:t>
      </w:r>
    </w:p>
    <w:p>
      <w:pPr>
        <w:pStyle w:val="T1"/>
        <w:jc w:val="start"/>
        <w:rPr>
          <w:lang w:val="nl-NL"/>
        </w:rPr>
      </w:pPr>
      <w:r>
        <w:rPr>
          <w:lang w:val="nl-NL"/>
        </w:rPr>
        <w:t>De frontpijpen zijn van metaal met hoog tingehalte. Sprekend zijn de pijpen in de torens en in de onderste tussenvelden vier, respectievelijk vijf pijpen (vanaf de tweede in grootte).</w:t>
      </w:r>
    </w:p>
    <w:p>
      <w:pPr>
        <w:pStyle w:val="T1"/>
        <w:jc w:val="start"/>
        <w:rPr>
          <w:lang w:val="nl-NL"/>
        </w:rPr>
      </w:pPr>
      <w:r>
        <w:rPr>
          <w:lang w:val="nl-NL"/>
        </w:rPr>
        <w:t>Van de oorspronkelijke klaviatuur met omgeving zijn alleen de lessenaar en het knieschot nog over, de rest dateert uit 1953. De handklavieren zijn balansklavieren met celluloidbeleg op de ondertoetsen en afgeschuinde frontons bij beide klavieren. De registerknoppen van het HW zijn nog op de oude plaats boven de lessenaar gesitueerd, de knoppen voor het NW zijn links van de lessenaar, die van het Ped rechts van de lessenaar geplaatst. De beide koppelingen worden bediend met treden. De knoppen zijn voorzien van kunststof naamplaatjes met graveerletter. Het pedaalklavier heeft boventoetsen met vanuit het midden naar weerszijden oplopende lengte.</w:t>
      </w:r>
    </w:p>
    <w:p>
      <w:pPr>
        <w:pStyle w:val="T1"/>
        <w:jc w:val="start"/>
        <w:rPr>
          <w:lang w:val="nl-NL"/>
        </w:rPr>
      </w:pPr>
      <w:r>
        <w:rPr>
          <w:lang w:val="nl-NL"/>
        </w:rPr>
        <w:t>Het windtoestel van 1910 bevindt zich onder in de kas. De handpomp is buiten de kas tegen de achterwand gemonteerd. Het bestek van 16 december 1908 vermeldt een winddruk van 75 mm. Het windkanaal voor het HW is van Amerkaans grenen, het bevindt zich deels in, deels iets buiten de kas.</w:t>
      </w:r>
    </w:p>
    <w:p>
      <w:pPr>
        <w:pStyle w:val="T1"/>
        <w:jc w:val="start"/>
        <w:rPr/>
      </w:pPr>
      <w:r>
        <w:rPr>
          <w:lang w:val="nl-NL"/>
        </w:rPr>
        <w:t>De lade van 1910 is van eiken, stokken en roosters zijn van mahonie. De ventielkast heeft drie opliggende voorslagen, vastgezet met kleine metalen proken. De cancelvolgorde is: f cis A G H dis g / f</w:t>
      </w:r>
      <w:r>
        <w:rPr>
          <w:vertAlign w:val="superscript"/>
          <w:lang w:val="nl-NL"/>
        </w:rPr>
        <w:t>3</w:t>
      </w:r>
      <w:r>
        <w:rPr>
          <w:lang w:val="nl-NL"/>
        </w:rPr>
        <w:t xml:space="preserve"> (hele tonen) a / F Dis Cis C D E Fis / b (hele tonen) e</w:t>
      </w:r>
      <w:r>
        <w:rPr>
          <w:vertAlign w:val="superscript"/>
          <w:lang w:val="nl-NL"/>
        </w:rPr>
        <w:t>3</w:t>
      </w:r>
      <w:r>
        <w:rPr>
          <w:lang w:val="nl-NL"/>
        </w:rPr>
        <w:t xml:space="preserve"> / gis e c Gis B d fis. (f aan klavierzijde.) Het walsraam HW, onder de lade, is nog van 1910 en is van Amerikaans grenen.</w:t>
      </w:r>
    </w:p>
    <w:p>
      <w:pPr>
        <w:pStyle w:val="T1"/>
        <w:jc w:val="start"/>
        <w:rPr>
          <w:lang w:val="nl-NL"/>
        </w:rPr>
      </w:pPr>
      <w:r>
        <w:rPr>
          <w:lang w:val="nl-NL"/>
        </w:rPr>
        <w:t>Pijpen van Amerikaans grenen zijn geplaatst in de Bourdon 16' (C-h) en de Holpijp 8' (C-H). De Quint 2 2/3' HW staat op de sleep van de Viola en is in fluitmensuur uitgevoerd; de Roerfluit 4' staat op de sleep van de oorspronkelijke Fluit 4' en is in het hoogste octaaf open, conisch. De Mixtuur staat op de sleep van de Cornet, de boringen voor de bas zijn in 1953 bijgemaakt. De Trompet HW heeft metalen stevels, loden koppen, zinken bekers voor C-H en metalen bekers voor het vervolg.</w:t>
      </w:r>
    </w:p>
    <w:p>
      <w:pPr>
        <w:pStyle w:val="T1"/>
        <w:jc w:val="start"/>
        <w:rPr>
          <w:lang w:val="nl-NL"/>
        </w:rPr>
      </w:pPr>
      <w:r>
        <w:rPr>
          <w:lang w:val="nl-NL"/>
        </w:rPr>
        <w:t>De Roerfluit 8' heeft zinken pijpen voor C-H, het vervolg is van metaal. De Viola 8' is van C-H gecombineerd met de Roerfluit. De Fluit 4' is gedekt, het hoogste octaaf is open, conisch. De Quint 1 1/3' heeft fluitmensuur; de Sesquialter als deel van de oorspronkelijke Cornet uiteraard ook. De Dulciaan heeft metalen stevels, loden koppen en enge cilindrische bekers op onderconus, aan de bovenzijde voorzien van half geopende deksels.</w:t>
      </w:r>
    </w:p>
    <w:p>
      <w:pPr>
        <w:pStyle w:val="T1"/>
        <w:jc w:val="start"/>
        <w:rPr/>
      </w:pPr>
      <w:r>
        <w:rPr>
          <w:lang w:val="nl-NL"/>
        </w:rPr>
        <w:t>Het metalen binnenpijpwerk van 1910 is toegeleverd materiaal met geperste labia. Expressions zijn toegepast bij alle pijpen van Prestant en Viola, bij de Octaaf 4' (C-h</w:t>
      </w:r>
      <w:r>
        <w:rPr>
          <w:vertAlign w:val="superscript"/>
          <w:lang w:val="nl-NL"/>
        </w:rPr>
        <w:t>1</w:t>
      </w:r>
      <w:r>
        <w:rPr>
          <w:lang w:val="nl-NL"/>
        </w:rPr>
        <w:t>), de Octaaf 2' (C-h), de Sexquialter 2 2/3' (c</w:t>
      </w:r>
      <w:r>
        <w:rPr>
          <w:vertAlign w:val="superscript"/>
          <w:lang w:val="nl-NL"/>
        </w:rPr>
        <w:t>1</w:t>
      </w:r>
      <w:r>
        <w:rPr>
          <w:lang w:val="nl-NL"/>
        </w:rPr>
        <w:t>-b</w:t>
      </w:r>
      <w:r>
        <w:rPr>
          <w:vertAlign w:val="superscript"/>
          <w:lang w:val="nl-NL"/>
        </w:rPr>
        <w:t>1</w:t>
      </w:r>
      <w:r>
        <w:rPr>
          <w:lang w:val="nl-NL"/>
        </w:rPr>
        <w:t>) en de Sesquialter 1 3/5' (c</w:t>
      </w:r>
      <w:r>
        <w:rPr>
          <w:vertAlign w:val="superscript"/>
          <w:lang w:val="nl-NL"/>
        </w:rPr>
        <w:t>1</w:t>
      </w:r>
      <w:r>
        <w:rPr>
          <w:lang w:val="nl-NL"/>
        </w:rPr>
        <w:t xml:space="preserve"> en cis</w:t>
      </w:r>
      <w:r>
        <w:rPr>
          <w:vertAlign w:val="superscript"/>
          <w:lang w:val="nl-NL"/>
        </w:rPr>
        <w:t>1</w:t>
      </w:r>
      <w:r>
        <w:rPr>
          <w:lang w:val="nl-NL"/>
        </w:rPr>
        <w:t>). Het open pijpwerk van 1953 is deels van stemkrullen voorzien, bij de Octaaf 2' en Quint 1 1/3' NW is dat het geval tot en met 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TotalTime>
  <Application>LibreOffice/7.2.1.2$MacOSX_X86_64 LibreOffice_project/87b77fad49947c1441b67c559c339af8f3517e22</Application>
  <AppVersion>15.0000</AppVersion>
  <Pages>4</Pages>
  <Words>886</Words>
  <Characters>4276</Characters>
  <CharactersWithSpaces>5021</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2008-02-27T19:20:00Z</dcterms:created>
  <dc:creator>WS1</dc:creator>
  <dc:description/>
  <dc:language>en-US</dc:language>
  <cp:lastModifiedBy>NIvO</cp:lastModifiedBy>
  <dcterms:modified xsi:type="dcterms:W3CDTF">2009-10-06T14:10:00Z</dcterms:modified>
  <cp:revision>15</cp:revision>
  <dc:subject/>
  <dc:title>Hilversum / 1910</dc:title>
</cp:coreProperties>
</file>