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Zijderveld / 1902</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met driezijdig gesloten koor en een toren van drie geledingen met hoekpinakels en een naaldspits. Van deze in aanleg 15e eeuwse kerk is het schip in 1830 ingekort en de toren herbouwd. De bepleistering dateert vermoedelijk uit 1884. Inwendig een gebogen houten plafond dat in 1907 is aangebracht.</w:t>
      </w:r>
    </w:p>
    <w:p>
      <w:pPr>
        <w:pStyle w:val="T1"/>
        <w:jc w:val="start"/>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1"/>
        <w:jc w:val="start"/>
        <w:rPr>
          <w:i/>
          <w:i/>
          <w:iCs/>
          <w:lang w:val="nl-NL"/>
        </w:rPr>
      </w:pPr>
      <w:r>
        <w:rPr>
          <w:i/>
          <w:iCs/>
          <w:lang w:val="nl-NL"/>
        </w:rPr>
      </w:r>
    </w:p>
    <w:p>
      <w:pPr>
        <w:pStyle w:val="T3Lit"/>
        <w:rPr>
          <w:b/>
          <w:b/>
          <w:bCs/>
          <w:lang w:val="nl-NL"/>
        </w:rPr>
      </w:pPr>
      <w:r>
        <w:rPr>
          <w:b/>
          <w:bCs/>
          <w:lang w:val="nl-NL"/>
        </w:rPr>
        <w:t>Literatuur</w:t>
      </w:r>
    </w:p>
    <w:p>
      <w:pPr>
        <w:pStyle w:val="T3Lit"/>
        <w:rPr>
          <w:b/>
          <w:b/>
          <w:bCs/>
          <w:lang w:val="nl-NL"/>
        </w:rPr>
      </w:pPr>
      <w:r>
        <w:rPr>
          <w:b/>
          <w:bCs/>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Van Meggelen</w:t>
      </w:r>
    </w:p>
    <w:p>
      <w:pPr>
        <w:pStyle w:val="T1"/>
        <w:jc w:val="start"/>
        <w:rPr>
          <w:lang w:val="nl-NL"/>
        </w:rPr>
      </w:pPr>
      <w:r>
        <w:rPr>
          <w:lang w:val="nl-NL"/>
        </w:rPr>
        <w:t>2. E.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1. 1902</w:t>
      </w:r>
    </w:p>
    <w:p>
      <w:pPr>
        <w:pStyle w:val="T1"/>
        <w:jc w:val="start"/>
        <w:rPr>
          <w:lang w:val="nl-NL"/>
        </w:rPr>
      </w:pPr>
      <w:r>
        <w:rPr>
          <w:lang w:val="nl-NL"/>
        </w:rPr>
        <w:t>2. 1973</w:t>
      </w:r>
    </w:p>
    <w:p>
      <w:pPr>
        <w:pStyle w:val="T1"/>
        <w:jc w:val="start"/>
        <w:rPr>
          <w:lang w:val="nl-NL"/>
        </w:rPr>
      </w:pPr>
      <w:r>
        <w:rPr>
          <w:lang w:val="nl-NL"/>
        </w:rPr>
      </w:r>
    </w:p>
    <w:p>
      <w:pPr>
        <w:pStyle w:val="T1"/>
        <w:jc w:val="start"/>
        <w:rPr>
          <w:lang w:val="nl-NL"/>
        </w:rPr>
      </w:pPr>
      <w:r>
        <w:rPr>
          <w:lang w:val="nl-NL"/>
        </w:rPr>
        <w:t>E. Verschueren 1973</w:t>
      </w:r>
    </w:p>
    <w:p>
      <w:pPr>
        <w:pStyle w:val="T1"/>
        <w:jc w:val="start"/>
        <w:rPr>
          <w:lang w:val="nl-NL"/>
        </w:rPr>
      </w:pPr>
      <w:r>
        <w:rPr>
          <w:lang w:val="nl-NL"/>
        </w:rPr>
        <w:t>.</w:t>
        <w:tab/>
        <w:t>nieuw orgel in oude kas met gebruikmaking oud pijpwerk van elders</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017" w:type="dxa"/>
        <w:jc w:val="start"/>
        <w:tblInd w:w="0" w:type="dxa"/>
        <w:tblLayout w:type="fixed"/>
        <w:tblCellMar>
          <w:top w:w="0" w:type="dxa"/>
          <w:start w:w="70" w:type="dxa"/>
          <w:bottom w:w="0" w:type="dxa"/>
          <w:end w:w="70" w:type="dxa"/>
        </w:tblCellMar>
      </w:tblPr>
      <w:tblGrid>
        <w:gridCol w:w="1737"/>
        <w:gridCol w:w="760"/>
        <w:gridCol w:w="760"/>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Nasard</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Sesquialter D</w:t>
            </w:r>
          </w:p>
          <w:p>
            <w:pPr>
              <w:pStyle w:val="T4dispositie"/>
              <w:rPr>
                <w:lang w:val="nl-NL"/>
              </w:rPr>
            </w:pPr>
            <w:r>
              <w:rPr>
                <w:lang w:val="nl-NL"/>
              </w:rPr>
              <w:t>Kromhoorn B/D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2 st.</w:t>
            </w:r>
          </w:p>
          <w:p>
            <w:pPr>
              <w:pStyle w:val="T4dispositie"/>
              <w:rPr>
                <w:lang w:val="nl-NL"/>
              </w:rPr>
            </w:pPr>
            <w:r>
              <w:rPr>
                <w:lang w:val="nl-NL"/>
              </w:rPr>
              <w:t>8</w:t>
            </w:r>
          </w:p>
        </w:tc>
        <w:tc>
          <w:tcPr>
            <w:tcW w:w="760" w:type="dxa"/>
            <w:tcBorders/>
          </w:tcPr>
          <w:p>
            <w:pPr>
              <w:pStyle w:val="T4dispositie"/>
              <w:rPr>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Samenstelling vulstemmen</w:t>
      </w:r>
    </w:p>
    <w:p>
      <w:pPr>
        <w:pStyle w:val="T1"/>
        <w:jc w:val="start"/>
        <w:rPr>
          <w:lang w:val="nl-NL"/>
        </w:rPr>
      </w:pPr>
      <w:r>
        <w:rPr>
          <w:lang w:val="nl-NL"/>
        </w:rPr>
      </w:r>
    </w:p>
    <w:p>
      <w:pPr>
        <w:pStyle w:val="T1"/>
        <w:jc w:val="start"/>
        <w:rPr>
          <w:lang w:val="nl-NL"/>
        </w:rPr>
      </w:pPr>
      <w:r>
        <w:rPr>
          <w:lang w:val="nl-NL"/>
        </w:rPr>
        <w:t xml:space="preserve">Sesquialter   </w:t>
      </w:r>
      <w:r>
        <w:rPr>
          <w:sz w:val="20"/>
        </w:rPr>
        <w:t>c</w:t>
      </w:r>
      <w:r>
        <w:rPr>
          <w:sz w:val="20"/>
          <w:vertAlign w:val="superscript"/>
        </w:rPr>
        <w:t>1</w:t>
      </w:r>
      <w:r>
        <w:rPr>
          <w:sz w:val="20"/>
        </w:rPr>
        <w:t xml:space="preserve">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2009-03-31T14:34:00Z</dcterms:created>
  <dc:creator>WS1</dc:creator>
  <dc:description/>
  <dc:language>en-US</dc:language>
  <cp:lastModifiedBy>NIvO</cp:lastModifiedBy>
  <dcterms:modified xsi:type="dcterms:W3CDTF">2009-09-21T09:04:00Z</dcterms:modified>
  <cp:revision>5</cp:revision>
  <dc:subject/>
  <dc:title>Niekerk (Hunsingo) / 1883</dc:title>
</cp:coreProperties>
</file>