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Zwartewaal / 1902</w:t>
      </w:r>
    </w:p>
    <w:p>
      <w:pPr>
        <w:pStyle w:val="Heading2"/>
        <w:ind w:start="0" w:end="0" w:hanging="0"/>
        <w:rPr>
          <w:i w:val="false"/>
          <w:i w:val="false"/>
          <w:iCs/>
        </w:rPr>
      </w:pPr>
      <w:r>
        <w:rPr>
          <w:i w:val="false"/>
          <w:iCs/>
        </w:rPr>
        <w:t>Hervormde Martinuskerk</w:t>
      </w:r>
    </w:p>
    <w:p>
      <w:pPr>
        <w:pStyle w:val="T1"/>
        <w:rPr>
          <w:i/>
          <w:i/>
          <w:iCs/>
          <w:lang w:val="nl-NL"/>
        </w:rPr>
      </w:pPr>
      <w:r>
        <w:rPr>
          <w:i/>
          <w:iCs/>
          <w:lang w:val="nl-NL"/>
        </w:rPr>
      </w:r>
    </w:p>
    <w:p>
      <w:pPr>
        <w:pStyle w:val="T1"/>
        <w:jc w:val="start"/>
        <w:rPr>
          <w:i/>
          <w:i/>
          <w:iCs/>
          <w:lang w:val="nl-NL"/>
        </w:rPr>
      </w:pPr>
      <w:r>
        <w:rPr>
          <w:i/>
          <w:iCs/>
          <w:lang w:val="nl-NL"/>
        </w:rPr>
        <w:t>Eenbeukige kerk met een schip uit de vroege 15e eeuw en een hoger koor in laatgotische vormen, opgetrokken in 1540. De geveltoren aan de westzijde dateert uit 1597. Het grootste deel van het schip is vanaf 1851 bestemd tot dienstruimten. Kansel en enig meubilair uit de 17e eeuw.</w:t>
      </w:r>
    </w:p>
    <w:p>
      <w:pPr>
        <w:pStyle w:val="T1"/>
        <w:rPr>
          <w:i/>
          <w:i/>
          <w:iCs/>
          <w:lang w:val="nl-NL"/>
        </w:rPr>
      </w:pPr>
      <w:r>
        <w:rPr>
          <w:i/>
          <w:iCs/>
          <w:lang w:val="nl-NL"/>
        </w:rPr>
      </w:r>
    </w:p>
    <w:p>
      <w:pPr>
        <w:pStyle w:val="T1"/>
        <w:jc w:val="start"/>
        <w:rPr>
          <w:lang w:val="nl-NL"/>
        </w:rPr>
      </w:pPr>
      <w:r>
        <w:rPr>
          <w:lang w:val="nl-NL"/>
        </w:rPr>
        <w:t>Kas: 1902</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In de jaren 1990 maakten de orgelmakers Bakker &amp; Timmenga twee vrijwel identieke orgels, waarvan het front was geïnspireerd op het dubbelfront van de orgelmakers Van Dam dat in 1879 in Mantgum voor het eerst verscheen (deel 1886-1894, 329, Blankenham en 345-347, Hollum).</w:t>
      </w:r>
    </w:p>
    <w:p>
      <w:pPr>
        <w:pStyle w:val="T2Kunst"/>
        <w:jc w:val="start"/>
        <w:rPr>
          <w:lang w:val="nl-NL"/>
        </w:rPr>
      </w:pPr>
      <w:r>
        <w:rPr>
          <w:lang w:val="nl-NL"/>
        </w:rPr>
        <w:t>Enkele jaren daarna is weer zo’n tweetal geproduceerd, al liggen de bouwjaren hier wat verder uiteen. Geografisch gezien lag dit tweede duo echter dichter bij elkaar: Zuidland, Hervormde Kerk, 1897, verbrand in 1918, en Zwartewaal, 1902.</w:t>
      </w:r>
    </w:p>
    <w:p>
      <w:pPr>
        <w:pStyle w:val="T2Kunst"/>
        <w:jc w:val="start"/>
        <w:rPr>
          <w:lang w:val="nl-NL"/>
        </w:rPr>
      </w:pPr>
      <w:r>
        <w:rPr>
          <w:lang w:val="nl-NL"/>
        </w:rPr>
        <w:t>De opzet van deze fronten is in grote lijnen gelijk aan het ontwerp van 1894. Het front van Zwartewaal verschilt op enkele punten opvallend van dat van het tweetal van 1894: de grote, aan de zijtorens grenzende velden zijn hier hol gewelfd uitgevoerd, terwijl dat bij de fronten van 1894 recht was, en de labiumlijnen van de smalle gedeelde veldjes van het bovenfront zijn in Zwartewaal gespiegeld ten opzichte van de beide soortgelijke fronten van 1894.</w:t>
      </w:r>
    </w:p>
    <w:p>
      <w:pPr>
        <w:pStyle w:val="T2Kunst"/>
        <w:jc w:val="start"/>
        <w:rPr>
          <w:lang w:val="nl-NL"/>
        </w:rPr>
      </w:pPr>
      <w:r>
        <w:rPr>
          <w:lang w:val="nl-NL"/>
        </w:rPr>
        <w:t>Een nieuw element ten opzichte van het verwante tweetal van 1894 wordt gevormd door de nadrukkelijke beëindiging van de bolle profiellijst onder de zijtorens en de aangrenzende boogvelden, gesitueerd tegen de frontstijlen ter weerszijden van het onderfront en vormgegeven als een rechthoekig plateautje op een consoleachtige ondersteuning.</w:t>
      </w:r>
    </w:p>
    <w:p>
      <w:pPr>
        <w:pStyle w:val="T2Kunst"/>
        <w:jc w:val="start"/>
        <w:rPr/>
      </w:pPr>
      <w:r>
        <w:rPr>
          <w:lang w:val="nl-NL"/>
        </w:rPr>
        <w:t xml:space="preserve">De ornamentiek bestaat uit composities van S-ranken, C-voluten, blad- en bloemmotieven. De </w:t>
      </w:r>
      <w:r>
        <w:rPr>
          <w:i/>
          <w:iCs/>
          <w:lang w:val="nl-NL"/>
        </w:rPr>
        <w:t>culs-de-lampe</w:t>
      </w:r>
      <w:r>
        <w:rPr>
          <w:lang w:val="nl-NL"/>
        </w:rPr>
        <w:t xml:space="preserve"> vertonen omgekruld acanthusblad als hoofdvorm.</w:t>
      </w:r>
    </w:p>
    <w:p>
      <w:pPr>
        <w:pStyle w:val="T2Kunst"/>
        <w:jc w:val="start"/>
        <w:rPr>
          <w:lang w:val="nl-NL"/>
        </w:rPr>
      </w:pPr>
      <w:r>
        <w:rPr>
          <w:lang w:val="nl-NL"/>
        </w:rPr>
        <w:t>De opzetstukken maken gebruik van dezelfde vormentaal als de blinderingen, ze zijn echter losser en doorzichtiger uitgevoerd. Vooral geldt dit het opzetstuk op de middenkap, dat zich als een kunstig en inventief vlechtwerk presenteert, bekroond door een smal geproportioneerde lier.</w:t>
      </w:r>
    </w:p>
    <w:p>
      <w:pPr>
        <w:pStyle w:val="T2Kunst"/>
        <w:jc w:val="start"/>
        <w:rPr>
          <w:lang w:val="nl-NL"/>
        </w:rPr>
      </w:pPr>
      <w:r>
        <w:rPr>
          <w:lang w:val="nl-NL"/>
        </w:rPr>
        <w:t>De vleugelstukken ontwikkelen zich vanuit een smalle S-rank bovenaan naar onderen toe tot steeds grotere breedte, met op het breedste punt C-voluten waaruit een hoorn des overvloeds ontspringt. Meerdere bloemen en bladranken vullen de compositie nader in.</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lang w:val="nl-NL"/>
        </w:rPr>
        <w:t>Het Orgel</w:t>
      </w:r>
      <w:r>
        <w:rPr>
          <w:lang w:val="nl-NL"/>
        </w:rPr>
        <w:t>, 83/2 (1987), 64-65.</w:t>
      </w:r>
    </w:p>
    <w:p>
      <w:pPr>
        <w:pStyle w:val="T3Lit"/>
        <w:rPr>
          <w:lang w:val="nl-NL"/>
        </w:rPr>
      </w:pPr>
      <w:r>
        <w:rPr>
          <w:lang w:val="nl-NL"/>
        </w:rPr>
      </w:r>
    </w:p>
    <w:p>
      <w:pPr>
        <w:pStyle w:val="T3Lit"/>
        <w:rPr>
          <w:b/>
          <w:b/>
          <w:bCs/>
          <w:lang w:val="nl-NL"/>
        </w:rPr>
      </w:pPr>
      <w:r>
        <w:rPr>
          <w:b/>
          <w:bCs/>
          <w:lang w:val="nl-NL"/>
        </w:rPr>
        <w:t>Niet gepubliceerde bron</w:t>
      </w:r>
    </w:p>
    <w:p>
      <w:pPr>
        <w:pStyle w:val="T3Lit"/>
        <w:rPr>
          <w:lang w:val="nl-NL"/>
        </w:rPr>
      </w:pPr>
      <w:r>
        <w:rPr>
          <w:lang w:val="nl-NL"/>
        </w:rPr>
        <w:t>Archief Orgelmakerij Bakker &amp; Timmenga, Leeuwarden, HCL.</w:t>
      </w:r>
    </w:p>
    <w:p>
      <w:pPr>
        <w:pStyle w:val="T3Lit"/>
        <w:rPr>
          <w:lang w:val="nl-NL"/>
        </w:rPr>
      </w:pPr>
      <w:r>
        <w:rPr>
          <w:lang w:val="nl-NL"/>
        </w:rPr>
      </w:r>
    </w:p>
    <w:p>
      <w:pPr>
        <w:pStyle w:val="T3Lit"/>
        <w:rPr>
          <w:lang w:val="nl-NL"/>
        </w:rPr>
      </w:pPr>
      <w:r>
        <w:rPr>
          <w:lang w:val="nl-NL"/>
        </w:rPr>
        <w:t>Monumentnummer 41506</w:t>
      </w:r>
    </w:p>
    <w:p>
      <w:pPr>
        <w:pStyle w:val="T3Lit"/>
        <w:rPr>
          <w:lang w:val="nl-NL"/>
        </w:rPr>
      </w:pPr>
      <w:r>
        <w:rPr>
          <w:lang w:val="nl-NL"/>
        </w:rPr>
        <w:t>Orgelnummer 1785</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1902</w:t>
      </w:r>
    </w:p>
    <w:p>
      <w:pPr>
        <w:pStyle w:val="T1"/>
        <w:jc w:val="start"/>
        <w:rPr>
          <w:lang w:val="nl-NL"/>
        </w:rPr>
      </w:pPr>
      <w:r>
        <w:rPr>
          <w:lang w:val="nl-NL"/>
        </w:rPr>
      </w:r>
    </w:p>
    <w:p>
      <w:pPr>
        <w:pStyle w:val="T1"/>
        <w:jc w:val="start"/>
        <w:rPr>
          <w:lang w:val="nl-NL"/>
        </w:rPr>
      </w:pPr>
      <w:r>
        <w:rPr>
          <w:lang w:val="nl-NL"/>
        </w:rPr>
        <w:t>Bakker &amp; Timmenga 1912</w:t>
      </w:r>
    </w:p>
    <w:p>
      <w:pPr>
        <w:pStyle w:val="T1"/>
        <w:numPr>
          <w:ilvl w:val="0"/>
          <w:numId w:val="2"/>
        </w:numPr>
        <w:jc w:val="start"/>
        <w:rPr>
          <w:lang w:val="nl-NL"/>
        </w:rPr>
      </w:pPr>
      <w:r>
        <w:rPr>
          <w:lang w:val="nl-NL"/>
        </w:rPr>
        <w:t>na brand in kerkgebouw orgel schoongemaakt, frontpijpen hersteld en gepolijst</w:t>
      </w:r>
    </w:p>
    <w:p>
      <w:pPr>
        <w:pStyle w:val="T1"/>
        <w:jc w:val="start"/>
        <w:rPr>
          <w:lang w:val="nl-NL"/>
        </w:rPr>
      </w:pPr>
      <w:r>
        <w:rPr>
          <w:lang w:val="nl-NL"/>
        </w:rPr>
      </w:r>
    </w:p>
    <w:p>
      <w:pPr>
        <w:pStyle w:val="T1"/>
        <w:jc w:val="start"/>
        <w:rPr>
          <w:lang w:val="nl-NL"/>
        </w:rPr>
      </w:pPr>
      <w:r>
        <w:rPr>
          <w:lang w:val="nl-NL"/>
        </w:rPr>
        <w:t>1943</w:t>
      </w:r>
    </w:p>
    <w:p>
      <w:pPr>
        <w:pStyle w:val="T1"/>
        <w:numPr>
          <w:ilvl w:val="0"/>
          <w:numId w:val="2"/>
        </w:numPr>
        <w:jc w:val="start"/>
        <w:rPr>
          <w:lang w:val="nl-NL"/>
        </w:rPr>
      </w:pPr>
      <w:r>
        <w:rPr>
          <w:lang w:val="nl-NL"/>
        </w:rPr>
        <w:t>orgelkas overgeschilderd in lichte grijsgroene kleur</w:t>
      </w:r>
    </w:p>
    <w:p>
      <w:pPr>
        <w:pStyle w:val="T1"/>
        <w:numPr>
          <w:ilvl w:val="0"/>
          <w:numId w:val="2"/>
        </w:numPr>
        <w:jc w:val="start"/>
        <w:rPr>
          <w:lang w:val="nl-NL"/>
        </w:rPr>
      </w:pPr>
      <w:r>
        <w:rPr>
          <w:lang w:val="nl-NL"/>
        </w:rPr>
        <w:t>gietijzeren kolommen onder de orgelgalerij vervangen door houten dragers</w:t>
      </w:r>
    </w:p>
    <w:p>
      <w:pPr>
        <w:pStyle w:val="T1"/>
        <w:jc w:val="start"/>
        <w:rPr>
          <w:lang w:val="nl-NL"/>
        </w:rPr>
      </w:pPr>
      <w:r>
        <w:rPr>
          <w:lang w:val="nl-NL"/>
        </w:rPr>
      </w:r>
    </w:p>
    <w:p>
      <w:pPr>
        <w:pStyle w:val="T1"/>
        <w:jc w:val="start"/>
        <w:rPr/>
      </w:pPr>
      <w:r>
        <w:rPr/>
        <w:t>H. Vermeulen 1943</w:t>
      </w:r>
    </w:p>
    <w:p>
      <w:pPr>
        <w:pStyle w:val="T1"/>
        <w:numPr>
          <w:ilvl w:val="0"/>
          <w:numId w:val="4"/>
        </w:numPr>
        <w:jc w:val="start"/>
        <w:rPr>
          <w:lang w:val="nl-NL"/>
        </w:rPr>
      </w:pPr>
      <w:r>
        <w:rPr>
          <w:lang w:val="nl-NL"/>
        </w:rPr>
        <w:t>orgel één travee in westelijke richting verplaatst in kader kerkrestauratie</w:t>
      </w:r>
    </w:p>
    <w:p>
      <w:pPr>
        <w:pStyle w:val="T1"/>
        <w:numPr>
          <w:ilvl w:val="0"/>
          <w:numId w:val="4"/>
        </w:numPr>
        <w:jc w:val="start"/>
        <w:rPr>
          <w:lang w:val="nl-NL"/>
        </w:rPr>
      </w:pPr>
      <w:r>
        <w:rPr>
          <w:lang w:val="nl-NL"/>
        </w:rPr>
        <w:t>mogelijk op dit moment Viola di Gamba van stemringen voorzien en zwevend gestemd</w:t>
      </w:r>
    </w:p>
    <w:p>
      <w:pPr>
        <w:pStyle w:val="T1"/>
        <w:jc w:val="start"/>
        <w:rPr>
          <w:lang w:val="nl-NL"/>
        </w:rPr>
      </w:pPr>
      <w:r>
        <w:rPr>
          <w:lang w:val="nl-NL"/>
        </w:rPr>
      </w:r>
    </w:p>
    <w:p>
      <w:pPr>
        <w:pStyle w:val="T1"/>
        <w:jc w:val="start"/>
        <w:rPr>
          <w:lang w:val="nl-NL"/>
        </w:rPr>
      </w:pPr>
      <w:r>
        <w:rPr>
          <w:lang w:val="nl-NL"/>
        </w:rPr>
        <w:t>Ernst Leeflang 1951</w:t>
      </w:r>
    </w:p>
    <w:p>
      <w:pPr>
        <w:pStyle w:val="T1"/>
        <w:jc w:val="start"/>
        <w:rPr/>
      </w:pPr>
      <w:r>
        <w:rPr/>
        <w:t>.</w:t>
        <w:tab/>
        <w:t>beperkt herstel</w:t>
      </w:r>
    </w:p>
    <w:p>
      <w:pPr>
        <w:pStyle w:val="T1"/>
        <w:jc w:val="start"/>
        <w:rPr/>
      </w:pPr>
      <w:r>
        <w:rPr/>
        <w:t>.</w:t>
        <w:tab/>
        <w:t>nieuwe dakconstructie aangebracht</w:t>
      </w:r>
    </w:p>
    <w:p>
      <w:pPr>
        <w:pStyle w:val="T1"/>
        <w:jc w:val="start"/>
        <w:rPr/>
      </w:pPr>
      <w:r>
        <w:rPr/>
      </w:r>
    </w:p>
    <w:p>
      <w:pPr>
        <w:pStyle w:val="T1"/>
        <w:jc w:val="start"/>
        <w:rPr>
          <w:lang w:val="nl-NL"/>
        </w:rPr>
      </w:pPr>
      <w:r>
        <w:rPr>
          <w:lang w:val="nl-NL"/>
        </w:rPr>
        <w:t>Ernst Leeflang onbekend moment</w:t>
      </w:r>
    </w:p>
    <w:p>
      <w:pPr>
        <w:pStyle w:val="T1"/>
        <w:numPr>
          <w:ilvl w:val="0"/>
          <w:numId w:val="3"/>
        </w:numPr>
        <w:jc w:val="start"/>
        <w:rPr>
          <w:lang w:val="nl-NL"/>
        </w:rPr>
      </w:pPr>
      <w:r>
        <w:rPr>
          <w:lang w:val="nl-NL"/>
        </w:rPr>
        <w:t>Viola di Gamba zuiver gestemd, stemringen gehandhaafd</w:t>
      </w:r>
    </w:p>
    <w:p>
      <w:pPr>
        <w:pStyle w:val="T1"/>
        <w:jc w:val="start"/>
        <w:rPr>
          <w:lang w:val="nl-NL"/>
        </w:rPr>
      </w:pPr>
      <w:r>
        <w:rPr>
          <w:lang w:val="nl-NL"/>
        </w:rPr>
      </w:r>
    </w:p>
    <w:p>
      <w:pPr>
        <w:pStyle w:val="T1"/>
        <w:jc w:val="start"/>
        <w:rPr>
          <w:lang w:val="nl-NL"/>
        </w:rPr>
      </w:pPr>
      <w:r>
        <w:rPr>
          <w:lang w:val="nl-NL"/>
        </w:rPr>
        <w:t>H. van Eeken en G. van Buuren 1986</w:t>
      </w:r>
    </w:p>
    <w:p>
      <w:pPr>
        <w:pStyle w:val="T1"/>
        <w:numPr>
          <w:ilvl w:val="0"/>
          <w:numId w:val="3"/>
        </w:numPr>
        <w:jc w:val="start"/>
        <w:rPr>
          <w:lang w:val="nl-NL"/>
        </w:rPr>
      </w:pPr>
      <w:r>
        <w:rPr>
          <w:lang w:val="nl-NL"/>
        </w:rPr>
        <w:t>restauratie</w:t>
      </w:r>
    </w:p>
    <w:p>
      <w:pPr>
        <w:pStyle w:val="T1"/>
        <w:numPr>
          <w:ilvl w:val="0"/>
          <w:numId w:val="3"/>
        </w:numPr>
        <w:jc w:val="start"/>
        <w:rPr>
          <w:lang w:val="nl-NL"/>
        </w:rPr>
      </w:pPr>
      <w:r>
        <w:rPr>
          <w:lang w:val="nl-NL"/>
        </w:rPr>
        <w:t>dakconstructie 1951 vervangen door nieuw dak van massief hout</w:t>
      </w:r>
    </w:p>
    <w:p>
      <w:pPr>
        <w:pStyle w:val="T1"/>
        <w:numPr>
          <w:ilvl w:val="0"/>
          <w:numId w:val="3"/>
        </w:numPr>
        <w:jc w:val="start"/>
        <w:rPr>
          <w:lang w:val="nl-NL"/>
        </w:rPr>
      </w:pPr>
      <w:r>
        <w:rPr>
          <w:lang w:val="nl-NL"/>
        </w:rPr>
        <w:t>HW-lade van hechthouten plaat voorzien; NW-lade hersteld zonder moderne toevoegingen</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5537" w:type="dxa"/>
        <w:jc w:val="start"/>
        <w:tblInd w:w="0" w:type="dxa"/>
        <w:tblLayout w:type="fixed"/>
        <w:tblCellMar>
          <w:top w:w="0" w:type="dxa"/>
          <w:start w:w="70" w:type="dxa"/>
          <w:bottom w:w="0" w:type="dxa"/>
          <w:end w:w="70" w:type="dxa"/>
        </w:tblCellMar>
      </w:tblPr>
      <w:tblGrid>
        <w:gridCol w:w="1346"/>
        <w:gridCol w:w="709"/>
        <w:gridCol w:w="1417"/>
        <w:gridCol w:w="545"/>
        <w:gridCol w:w="873"/>
        <w:gridCol w:w="647"/>
      </w:tblGrid>
      <w:tr>
        <w:trPr/>
        <w:tc>
          <w:tcPr>
            <w:tcW w:w="1346" w:type="dxa"/>
            <w:tcBorders/>
          </w:tcPr>
          <w:p>
            <w:pPr>
              <w:pStyle w:val="T4dispositie"/>
              <w:rPr>
                <w:i/>
                <w:i/>
                <w:iCs/>
                <w:lang w:val="nl-NL"/>
              </w:rPr>
            </w:pPr>
            <w:r>
              <w:rPr>
                <w:i/>
                <w:iCs/>
                <w:lang w:val="nl-NL"/>
              </w:rPr>
              <w:t>Hoofdwerk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 B/D</w:t>
            </w:r>
          </w:p>
        </w:tc>
        <w:tc>
          <w:tcPr>
            <w:tcW w:w="70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417" w:type="dxa"/>
            <w:tcBorders/>
          </w:tcPr>
          <w:p>
            <w:pPr>
              <w:pStyle w:val="T4dispositie"/>
              <w:rPr>
                <w:lang w:val="nl-NL"/>
              </w:rPr>
            </w:pPr>
            <w:r>
              <w:rPr>
                <w:i/>
                <w:lang w:val="nl-NL"/>
              </w:rPr>
              <w:t>Nevenwerk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Roerfluit</w:t>
            </w:r>
          </w:p>
          <w:p>
            <w:pPr>
              <w:pStyle w:val="T4dispositie"/>
              <w:rPr>
                <w:lang w:val="nl-NL"/>
              </w:rPr>
            </w:pPr>
            <w:r>
              <w:rPr>
                <w:lang w:val="nl-NL"/>
              </w:rPr>
              <w:t>Salicionaal</w:t>
            </w:r>
          </w:p>
          <w:p>
            <w:pPr>
              <w:pStyle w:val="T4dispositie"/>
              <w:rPr>
                <w:lang w:val="nl-NL"/>
              </w:rPr>
            </w:pPr>
            <w:r>
              <w:rPr>
                <w:lang w:val="nl-NL"/>
              </w:rPr>
              <w:t>Viola di Gamba</w:t>
            </w:r>
          </w:p>
          <w:p>
            <w:pPr>
              <w:pStyle w:val="T4dispositie"/>
              <w:rPr>
                <w:lang w:val="nl-NL"/>
              </w:rPr>
            </w:pPr>
            <w:r>
              <w:rPr>
                <w:lang w:val="nl-NL"/>
              </w:rPr>
              <w:t>Salicet</w:t>
            </w:r>
          </w:p>
          <w:p>
            <w:pPr>
              <w:pStyle w:val="T4dispositie"/>
              <w:rPr>
                <w:lang w:val="nl-NL"/>
              </w:rPr>
            </w:pPr>
            <w:r>
              <w:rPr>
                <w:lang w:val="nl-NL"/>
              </w:rPr>
              <w:t>Gemshoorn</w:t>
            </w:r>
          </w:p>
          <w:p>
            <w:pPr>
              <w:pStyle w:val="T4dispositie"/>
              <w:rPr>
                <w:lang w:val="nl-NL"/>
              </w:rPr>
            </w:pPr>
            <w:r>
              <w:rPr>
                <w:lang w:val="nl-NL"/>
              </w:rPr>
              <w:t>Klarinet</w:t>
            </w:r>
          </w:p>
        </w:tc>
        <w:tc>
          <w:tcPr>
            <w:tcW w:w="54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873" w:type="dxa"/>
            <w:tcBorders/>
          </w:tcPr>
          <w:p>
            <w:pPr>
              <w:pStyle w:val="T4dispositie"/>
              <w:rPr>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w:t>
            </w:r>
          </w:p>
        </w:tc>
        <w:tc>
          <w:tcPr>
            <w:tcW w:w="64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tc>
      </w:tr>
    </w:tbl>
    <w:p>
      <w:pPr>
        <w:pStyle w:val="T4dispositie"/>
        <w:rPr/>
      </w:pPr>
      <w:r>
        <w:rPr/>
      </w:r>
    </w:p>
    <w:p>
      <w:pPr>
        <w:pStyle w:val="T4dispositie"/>
        <w:rPr>
          <w:lang w:val="nl-NL"/>
        </w:rPr>
      </w:pPr>
      <w:r>
        <w:rPr>
          <w:lang w:val="nl-NL"/>
        </w:rPr>
        <w:t>* in werkelijkheid 4 st.</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pedaalkoppel</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rPr>
        <w:t>c</w:t>
      </w:r>
      <w:r>
        <w:rPr>
          <w:sz w:val="20"/>
          <w:vertAlign w:val="superscript"/>
        </w:rPr>
        <w:t>1</w:t>
      </w:r>
      <w:r>
        <w:rPr>
          <w:sz w:val="20"/>
        </w:rPr>
        <w:t xml:space="preserve">   4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(1902)</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Het bestek van maart 1901 voorziet een Cornet D 3 st., een pedaaltransmissie van 13 tonen (C-c) en een winddruk van 85 mm.</w:t>
      </w:r>
    </w:p>
    <w:p>
      <w:pPr>
        <w:pStyle w:val="T1"/>
        <w:jc w:val="start"/>
        <w:rPr>
          <w:lang w:val="nl-NL"/>
        </w:rPr>
      </w:pPr>
      <w:r>
        <w:rPr>
          <w:lang w:val="nl-NL"/>
        </w:rPr>
        <w:t>In de oorspronkelijke situatie stond het orgel tegen een ruimte met een verlaagd plafond opgesteld. Na de verplaatsing ontbrak het dak omdat waarschijnlijk het verlaagd plafond voordien die functie had. De dakconstructies van 1951 en 1986 zijn op dezelfde plaats als de oorspronkelijke voorziening aangebracht. Dit is echter lager dan bij dit fronttype gebruikelijk is, maar continueert wel de akoestische omstandigheden waarop de intonatie gebaseerd moet zijn.</w:t>
      </w:r>
    </w:p>
    <w:p>
      <w:pPr>
        <w:pStyle w:val="T1"/>
        <w:jc w:val="start"/>
        <w:rPr/>
      </w:pPr>
      <w:r>
        <w:rPr>
          <w:lang w:val="nl-NL"/>
        </w:rPr>
        <w:t>De frontpijpen zijn van metaal met een hoog tingehalte. C-fis</w:t>
      </w:r>
      <w:r>
        <w:rPr>
          <w:vertAlign w:val="superscript"/>
          <w:lang w:val="nl-NL"/>
        </w:rPr>
        <w:t>1</w:t>
      </w:r>
      <w:r>
        <w:rPr>
          <w:lang w:val="nl-NL"/>
        </w:rPr>
        <w:t xml:space="preserve"> van de Prestant 8' en C-Fis van de Octaaf 4' spreken in het front. De overige frontpijpen zijn stom.</w:t>
      </w:r>
    </w:p>
    <w:p>
      <w:pPr>
        <w:pStyle w:val="T1"/>
        <w:jc w:val="start"/>
        <w:rPr>
          <w:lang w:val="nl-NL"/>
        </w:rPr>
      </w:pPr>
      <w:r>
        <w:rPr>
          <w:lang w:val="nl-NL"/>
        </w:rPr>
        <w:t>De handklavieren zijn eiken staartklavieren met beleg van ivoor op de ondertoetsen. De registerknoppen van de beide manualen zijn op één rij boven de lessenaar geplaatst. Links en rechts van de klavieren bevinden zich de knoppen voor de Bourdon Ped en die van de werktuiglijke registers. De knoppen hebben witte porseleinen naamplaatjes. Het eiken pedaalklavier heeft korte boventoetsen van gelijke lengte.</w:t>
      </w:r>
    </w:p>
    <w:p>
      <w:pPr>
        <w:pStyle w:val="T1"/>
        <w:jc w:val="start"/>
        <w:rPr>
          <w:lang w:val="nl-NL"/>
        </w:rPr>
      </w:pPr>
      <w:r>
        <w:rPr>
          <w:lang w:val="nl-NL"/>
        </w:rPr>
        <w:t>Het windtoestel is onder in de kas gesitueerd. De handpomp is buiten de kas tegen de achterwand gemonteerd. De tremulant in een inliggende kanaaltremulant.</w:t>
      </w:r>
    </w:p>
    <w:p>
      <w:pPr>
        <w:pStyle w:val="T1"/>
        <w:jc w:val="start"/>
        <w:rPr>
          <w:lang w:val="nl-NL"/>
        </w:rPr>
      </w:pPr>
      <w:r>
        <w:rPr>
          <w:lang w:val="nl-NL"/>
        </w:rPr>
        <w:t>De windladen van de beide manualen liggen achter elkaar, gescheiden door een stempad.</w:t>
      </w:r>
    </w:p>
    <w:p>
      <w:pPr>
        <w:pStyle w:val="T1"/>
        <w:jc w:val="start"/>
        <w:rPr/>
      </w:pPr>
      <w:r>
        <w:rPr>
          <w:lang w:val="nl-NL"/>
        </w:rPr>
        <w:t>Tegen de rechter zijwand bevindt zich een lade voor C-d</w:t>
      </w:r>
      <w:r>
        <w:rPr>
          <w:vertAlign w:val="superscript"/>
          <w:lang w:val="nl-NL"/>
        </w:rPr>
        <w:t>1</w:t>
      </w:r>
      <w:r>
        <w:rPr>
          <w:lang w:val="nl-NL"/>
        </w:rPr>
        <w:t xml:space="preserve"> van de Bourdon 16', waarvan de pijpen dus zowel op het HW als op het Ped ingeschakeld kunnen worden. De verbinding met het speelmechaniek HW is mechanisch, vanaf een extra walsarm aan de speelwalsen HW aangelegd.</w:t>
      </w:r>
    </w:p>
    <w:p>
      <w:pPr>
        <w:pStyle w:val="T1"/>
        <w:jc w:val="start"/>
        <w:rPr>
          <w:lang w:val="nl-NL"/>
        </w:rPr>
      </w:pPr>
      <w:r>
        <w:rPr>
          <w:lang w:val="nl-NL"/>
        </w:rPr>
        <w:t>De laden zijn van eiken, de stokken en de roosters zijn van mahonie. De manuaalladen zijn elk voorzien van drie opliggende voorslagen en hebben een cancelvolgorde in hele tonen, vanuit het midden aflopend naar beide uiteinden. De Bourdonlade is chromatische ingedeeld.</w:t>
      </w:r>
    </w:p>
    <w:p>
      <w:pPr>
        <w:pStyle w:val="T1"/>
        <w:jc w:val="start"/>
        <w:rPr/>
      </w:pPr>
      <w:r>
        <w:rPr>
          <w:lang w:val="nl-NL"/>
        </w:rPr>
        <w:t>Houten pijpen (alle van Amerikaans grenen) zijn toegepast bij C-h van de Bourdon 16', C-H van de Holpijp 8' en C-H van de Roerfluit 8'. De Fluit 4' is gedekt, het hoogste octaaf echter open, conisch. De Cornet staat op de lade en is geheel open. Salicionaal en Viola di Gamba zijn beiden van C-H gecombineerd met de Roerfluit, conform de bepaling hierover in het bestek. De Viola di Gamba heeft later aangebrachte stemringen. De Gemshoorn 2' is conisch. De Trompet 8' heeft metalen stevels, overkragende loden koppen en metalen bekers, voorzien van slitsen. De Klarinet 8' heeft metalen stevels, loden koppen, cilindrische bekers op onderconus, met bovenaan een trechtervormig opzetstuk. De bekers vanaf b</w:t>
      </w:r>
      <w:r>
        <w:rPr>
          <w:vertAlign w:val="superscript"/>
          <w:lang w:val="nl-NL"/>
        </w:rPr>
        <w:t>1</w:t>
      </w:r>
      <w:r>
        <w:rPr>
          <w:lang w:val="nl-NL"/>
        </w:rPr>
        <w:t xml:space="preserve"> hebben bijna dubbele lengte.</w:t>
      </w:r>
    </w:p>
    <w:p>
      <w:pPr>
        <w:pStyle w:val="T1"/>
        <w:jc w:val="start"/>
        <w:rPr/>
      </w:pPr>
      <w:r>
        <w:rPr>
          <w:lang w:val="nl-NL"/>
        </w:rPr>
        <w:t>De Roerfluit heeft geritste spitslabia. Al het overige labiale metalen binnenpijpwerk heeft geperste labia en is toegeleverd materiaal. Expressions zijn toegepast bij alle pijpen van Prestant, Salicionaal en Viola di Gamba, bij de Octaaf 4' (C-f</w:t>
      </w:r>
      <w:r>
        <w:rPr>
          <w:vertAlign w:val="superscript"/>
          <w:lang w:val="nl-NL"/>
        </w:rPr>
        <w:t>2</w:t>
      </w:r>
      <w:r>
        <w:rPr>
          <w:lang w:val="nl-NL"/>
        </w:rPr>
        <w:t>), bij de Octaaf 2' (C-f</w:t>
      </w:r>
      <w:r>
        <w:rPr>
          <w:vertAlign w:val="superscript"/>
          <w:lang w:val="nl-NL"/>
        </w:rPr>
        <w:t>1</w:t>
      </w:r>
      <w:r>
        <w:rPr>
          <w:lang w:val="nl-NL"/>
        </w:rPr>
        <w:t>), bij de Cornet 4' (c</w:t>
      </w:r>
      <w:r>
        <w:rPr>
          <w:vertAlign w:val="superscript"/>
          <w:lang w:val="nl-NL"/>
        </w:rPr>
        <w:t>1</w:t>
      </w:r>
      <w:r>
        <w:rPr>
          <w:lang w:val="nl-NL"/>
        </w:rPr>
        <w:t>-h</w:t>
      </w:r>
      <w:r>
        <w:rPr>
          <w:vertAlign w:val="superscript"/>
          <w:lang w:val="nl-NL"/>
        </w:rPr>
        <w:t>2</w:t>
      </w:r>
      <w:r>
        <w:rPr>
          <w:lang w:val="nl-NL"/>
        </w:rPr>
        <w:t>), de Cornet 2 2/3' (c</w:t>
      </w:r>
      <w:r>
        <w:rPr>
          <w:vertAlign w:val="superscript"/>
          <w:lang w:val="nl-NL"/>
        </w:rPr>
        <w:t>1</w:t>
      </w:r>
      <w:r>
        <w:rPr>
          <w:lang w:val="nl-NL"/>
        </w:rPr>
        <w:t>-e</w:t>
      </w:r>
      <w:r>
        <w:rPr>
          <w:vertAlign w:val="superscript"/>
          <w:lang w:val="nl-NL"/>
        </w:rPr>
        <w:t>2</w:t>
      </w:r>
      <w:r>
        <w:rPr>
          <w:lang w:val="nl-NL"/>
        </w:rPr>
        <w:t>), de Cornet 2' (c</w:t>
      </w:r>
      <w:r>
        <w:rPr>
          <w:vertAlign w:val="superscript"/>
          <w:lang w:val="nl-NL"/>
        </w:rPr>
        <w:t>1</w:t>
      </w:r>
      <w:r>
        <w:rPr>
          <w:lang w:val="nl-NL"/>
        </w:rPr>
        <w:t>-c</w:t>
      </w:r>
      <w:r>
        <w:rPr>
          <w:vertAlign w:val="superscript"/>
          <w:lang w:val="nl-NL"/>
        </w:rPr>
        <w:t>2</w:t>
      </w:r>
      <w:r>
        <w:rPr>
          <w:lang w:val="nl-NL"/>
        </w:rPr>
        <w:t>), de Cornet 1 3/5' (c</w:t>
      </w:r>
      <w:r>
        <w:rPr>
          <w:vertAlign w:val="superscript"/>
          <w:lang w:val="nl-NL"/>
        </w:rPr>
        <w:t>1</w:t>
      </w:r>
      <w:r>
        <w:rPr>
          <w:lang w:val="nl-NL"/>
        </w:rPr>
        <w:t>-gis</w:t>
      </w:r>
      <w:r>
        <w:rPr>
          <w:vertAlign w:val="superscript"/>
          <w:lang w:val="nl-NL"/>
        </w:rPr>
        <w:t>1</w:t>
      </w:r>
      <w:r>
        <w:rPr>
          <w:lang w:val="nl-NL"/>
        </w:rPr>
        <w:t>), bij de Salicet 4' (C-d</w:t>
      </w:r>
      <w:r>
        <w:rPr>
          <w:vertAlign w:val="superscript"/>
          <w:lang w:val="nl-NL"/>
        </w:rPr>
        <w:t>2</w:t>
      </w:r>
      <w:r>
        <w:rPr>
          <w:lang w:val="nl-NL"/>
        </w:rPr>
        <w:t>) en bij de Gemshoorn 2' (C-dis).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2">
    <w:name w:val="WW8Num4z2"/>
    <w:qFormat/>
    <w:rPr>
      <w:rFonts w:ascii="Wingdings" w:hAnsi="Wingdings" w:cs="Wingdings"/>
    </w:rPr>
  </w:style>
  <w:style w:type="character" w:styleId="WW8Num4z4">
    <w:name w:val="WW8Num4z4"/>
    <w:qFormat/>
    <w:rPr>
      <w:rFonts w:ascii="Courier New" w:hAnsi="Courier New" w:cs="Courier New"/>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42</TotalTime>
  <Application>LibreOffice/7.2.1.2$MacOSX_X86_64 LibreOffice_project/87b77fad49947c1441b67c559c339af8f3517e22</Application>
  <AppVersion>15.0000</AppVersion>
  <Pages>4</Pages>
  <Words>825</Words>
  <Characters>4552</Characters>
  <CharactersWithSpaces>5270</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2008-02-27T20:14:00Z</dcterms:created>
  <dc:creator>WS1</dc:creator>
  <dc:description/>
  <dc:language>en-US</dc:language>
  <cp:lastModifiedBy>NIvO</cp:lastModifiedBy>
  <dcterms:modified xsi:type="dcterms:W3CDTF">2009-10-06T14:34:00Z</dcterms:modified>
  <cp:revision>11</cp:revision>
  <dc:subject/>
  <dc:title>Niekerk (Hunsingo) / 1883</dc:title>
</cp:coreProperties>
</file>