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Stiens / 1777</w:t>
      </w:r>
    </w:p>
    <w:p>
      <w:pPr>
        <w:pStyle w:val="Heading2"/>
        <w:jc w:val="both"/>
        <w:rPr>
          <w:i w:val="false"/>
          <w:i w:val="false"/>
          <w:iCs/>
        </w:rPr>
      </w:pPr>
      <w:r>
        <w:rPr>
          <w:i w:val="false"/>
          <w:iCs/>
        </w:rPr>
        <w:t>St-Vituskerk</w:t>
      </w:r>
    </w:p>
    <w:p>
      <w:pPr>
        <w:pStyle w:val="T1"/>
        <w:jc w:val="start"/>
        <w:rPr>
          <w:i/>
          <w:i/>
          <w:iCs/>
          <w:lang w:val="nl-NL"/>
        </w:rPr>
      </w:pPr>
      <w:r>
        <w:rPr>
          <w:i/>
          <w:iCs/>
          <w:lang w:val="nl-NL"/>
        </w:rPr>
      </w:r>
    </w:p>
    <w:p>
      <w:pPr>
        <w:pStyle w:val="T1"/>
        <w:jc w:val="start"/>
        <w:rPr>
          <w:i/>
          <w:i/>
          <w:iCs/>
          <w:lang w:val="nl-NL"/>
        </w:rPr>
      </w:pPr>
      <w:r>
        <w:rPr>
          <w:i/>
          <w:iCs/>
          <w:lang w:val="nl-NL"/>
        </w:rPr>
        <w:t>Ruime eenbeukige kerk met iets smaller koor en een zware, door een zadeldak gedekte toren. Het tufstenen schip dateert uit ca 1100. Het muurwerk hiervan bevat spaarvelden met rondbogen. Het koor dateert in aanleg uit de 13e eeuw. De huidige gedaante van de gehele kerk is het resultaat van verhoging van het muurwerk en de aanleg van een nieuwe kap in de 15e eeuw. In de 16e eeuw werd het huidige houten gewelf aangebracht. Bij de kerkrestauratie van 1975 is door de conserverende opzet het bouwkundig geschiedverhaal in het muurwerk leesbaar gebleven.</w:t>
      </w:r>
    </w:p>
    <w:p>
      <w:pPr>
        <w:pStyle w:val="T1"/>
        <w:jc w:val="start"/>
        <w:rPr>
          <w:i/>
          <w:i/>
          <w:iCs/>
          <w:lang w:val="nl-NL"/>
        </w:rPr>
      </w:pPr>
      <w:r>
        <w:rPr>
          <w:i/>
          <w:iCs/>
          <w:lang w:val="nl-NL"/>
        </w:rPr>
        <w:t>Tot de inventaris behoren drie overhuifde herenbanken uit de 17e eeuw en een kansel uit het tweede kwart van de 18e eeuw. De kerk staat op een verhoogd kerkhof, omzoomd door een cirkelvormig hek en hoog geboomte, een imposant voorbeeld van een zogenaamde kerkring.</w:t>
      </w:r>
    </w:p>
    <w:p>
      <w:pPr>
        <w:pStyle w:val="T1"/>
        <w:jc w:val="start"/>
        <w:rPr>
          <w:i/>
          <w:i/>
          <w:iCs/>
          <w:lang w:val="nl-NL"/>
        </w:rPr>
      </w:pPr>
      <w:r>
        <w:rPr>
          <w:i/>
          <w:iCs/>
          <w:lang w:val="nl-NL"/>
        </w:rPr>
      </w:r>
    </w:p>
    <w:p>
      <w:pPr>
        <w:pStyle w:val="T1"/>
        <w:jc w:val="start"/>
        <w:rPr>
          <w:lang w:val="nl-NL"/>
        </w:rPr>
      </w:pPr>
      <w:r>
        <w:rPr>
          <w:lang w:val="nl-NL"/>
        </w:rPr>
        <w:t>Kas: 1777/1830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slanke en elegante front van Stiens staat binnen de Friese traditie geheel op zichzelf. Het kwam in twee onderscheiden bouwfasen tot stand, maar dank zij het aanpassingsvermogen van de bouwers van de laatste fase is in globale zin een eenheid ontstaan. Tegelijkertijd zijn de twee bouwfasen vooral aan de thema’s van de ornamentiek nog steeds goed afleesbaar.</w:t>
      </w:r>
    </w:p>
    <w:p>
      <w:pPr>
        <w:pStyle w:val="T2Kunst"/>
        <w:jc w:val="start"/>
        <w:rPr>
          <w:lang w:val="nl-NL"/>
        </w:rPr>
      </w:pPr>
      <w:r>
        <w:rPr>
          <w:lang w:val="nl-NL"/>
        </w:rPr>
        <w:t>De HW-kas dateert uit 1777. Het middendeel bevat een ronde middentoren en gedeelde, vlak uitgevoerde tussenvelden. Verrassend is de buitenste partij, een breed veld dat hol naar achteren welft. Men vraagt zich af waar de ontwerpers hiervan hun inspiratie hebben opgedaan. Zeer klassiek zijn vervolgens de diagonaalsgewijs lopende labiumlijnen van het front. De orgelmakers Van Dam hebben deze hoofdvorm overgenomen voor hun in 1830 toegevoegde rugwerk. De profilering van de kappen is echter simpeler van uitvoering, met o.a. een verhoudingsgewijs breder fries. De frontstijlen werden vlak uitgevoerd in tegenstelling tot die van de grote kas, welke van inkassingen zijn voorzien.</w:t>
      </w:r>
    </w:p>
    <w:p>
      <w:pPr>
        <w:pStyle w:val="T2Kunst"/>
        <w:jc w:val="start"/>
        <w:rPr>
          <w:lang w:val="nl-NL"/>
        </w:rPr>
      </w:pPr>
      <w:r>
        <w:rPr>
          <w:lang w:val="nl-NL"/>
        </w:rPr>
        <w:t>Grotere verschillen zijn echter op te merken ten aanzien van de uitvoering van de ornamenten.</w:t>
      </w:r>
    </w:p>
    <w:p>
      <w:pPr>
        <w:pStyle w:val="T2Kunst"/>
        <w:jc w:val="start"/>
        <w:rPr>
          <w:lang w:val="nl-NL"/>
        </w:rPr>
      </w:pPr>
      <w:r>
        <w:rPr>
          <w:lang w:val="nl-NL"/>
        </w:rPr>
        <w:t>De blinderingen van de grote kas bestaan bij de pijpvoeten en boven in de middentoren uit plantaardige vormen en voluten. Boven in de middentoren is er in het midden een palmet en onderaan een gevlochten krans aan toegevoegd. De zijvelden en bovenste tussenvelden zijn bovenin van draperieën met franje en kwastjes voorzien. De draperieën boven de tussenvelden zijn opgenomen in ringen die tegen de stijlen zijn geplaatst. Boven diezelfde draperieën verschijnen springerige opengewerkte ornamenten met takken, voluten en schuimwerk, die de overgang naar de hogere middentoren moeten verzachten.</w:t>
      </w:r>
    </w:p>
    <w:p>
      <w:pPr>
        <w:pStyle w:val="T2Kunst"/>
        <w:jc w:val="start"/>
        <w:rPr>
          <w:lang w:val="nl-NL"/>
        </w:rPr>
      </w:pPr>
      <w:r>
        <w:rPr>
          <w:lang w:val="nl-NL"/>
        </w:rPr>
        <w:t>Bij de scheiding van de tussenvelden is summier ornament geplaatst, bestaande uit gekoppelde voluten en takjes. Opvallend zijn de ornamentjes, bestaande uit gekoppelde S-voluten, die op de frontstijlen zijn aangebracht.</w:t>
      </w:r>
    </w:p>
    <w:p>
      <w:pPr>
        <w:pStyle w:val="T2Kunst"/>
        <w:jc w:val="start"/>
        <w:rPr>
          <w:lang w:val="nl-NL"/>
        </w:rPr>
      </w:pPr>
      <w:r>
        <w:rPr>
          <w:lang w:val="nl-NL"/>
        </w:rPr>
        <w:t>Op het paneelwerk van de onderkas zijn opgenomen guirlandes geplaatst. Tegen de zijstijlen van de hoofdkas bevinden zich vleugelstukken. Ze bestaan uit een hoofdvorm in de vorm van een langgerekte S-voluut. Het binnenste deel, dat aansluit aan de kas, is niet opengewerkt. Tegen het vlak is een uit bladmotieven opgebouwde krul geplaatst, ook weer afgeleid van een S-voluut, de buitenste ronding voorzien van een parelrand. Het gehele vleugelstuk wordt omlijst door een opengewerkte rand van geschakelde ringen, in grootte op- en aflopend.</w:t>
      </w:r>
    </w:p>
    <w:p>
      <w:pPr>
        <w:pStyle w:val="T2Kunst"/>
        <w:jc w:val="start"/>
        <w:rPr>
          <w:lang w:val="nl-NL"/>
        </w:rPr>
      </w:pPr>
      <w:r>
        <w:rPr>
          <w:lang w:val="nl-NL"/>
        </w:rPr>
        <w:t>De bekroningen bestaan uit muzikale thema’s. Op de middentoren een gekroonde David met harp, het linkerbeen in knielende houding. Het beeld wordt omstuwd door gekoppelde C-voluten. Op de zijvelden zijn zittende vrouwenfiguren te zien. Ze hebben plaatsgenomen op de verbrede bekroning van de frontstijlen, die als piëdestal dienst doen, en laten hun benen elegant de dalende lijn van de bovenlijsten volgen. De rechterfiguur bespeelt een blaasinstrument, de linker houdt met de linkerhand een boek vast. Evenals de totale ornamentiek van de hoofdkas zijn ook deze bekroningen plastisch van vormgeving.</w:t>
      </w:r>
    </w:p>
    <w:p>
      <w:pPr>
        <w:pStyle w:val="T2Kunst"/>
        <w:jc w:val="start"/>
        <w:rPr>
          <w:lang w:val="nl-NL"/>
        </w:rPr>
      </w:pPr>
      <w:r>
        <w:rPr>
          <w:lang w:val="nl-NL"/>
        </w:rPr>
        <w:t>Juist op dat terrein onderscheidt de uitvoering van de ornamenten zich bij het in 1830 toegevoegde rugwerk. Geheel in de lijn van de stijl van die dagen is alles fragieler en meer verstild van uitvoering. De voluutvorm is niet meer aanwezig, of nog slechts vaag herkenbaar. De hoofdthema’s zijn bebladerde takjes, gevlochten randjes, draperietjes. Volstrekte symmetrie houdt alles danig in bedwang.</w:t>
      </w:r>
    </w:p>
    <w:p>
      <w:pPr>
        <w:pStyle w:val="T2Kunst"/>
        <w:jc w:val="start"/>
        <w:rPr>
          <w:lang w:val="nl-NL"/>
        </w:rPr>
      </w:pPr>
      <w:r>
        <w:rPr>
          <w:lang w:val="nl-NL"/>
        </w:rPr>
        <w:t>Op de middentoren staat een muziektrofee met lier, blaasinstrumenten en een boek, waarbij het evenwicht van de grote lijn het toch weer wint van de asymmetrie van het detail. De bekroningen op de zijvelden herhalen het idee van de grote kas: ook hier wordt weer gemusiceerd. Maar deze dames zijn meer statisch van vorm dan die van de grote kas. Ze kijken ook niet de kerkruimte in, maar wenden de blik decent opzij. Op het linkerbeeld bevindt zich de naam van de maker: J.A. Janssen. Deze Leeuwarder beeldhouwer werkte enkele decennia voor de orgelmakers Van Dam, met name in de periode die als echo van de empirestijl kan worden omschreven. Vleugelstukken zijn bij het rugwerk achterwege gebleven.</w:t>
      </w:r>
    </w:p>
    <w:p>
      <w:pPr>
        <w:pStyle w:val="T2Kunst"/>
        <w:jc w:val="start"/>
        <w:rPr>
          <w:lang w:val="nl-NL"/>
        </w:rPr>
      </w:pPr>
      <w:r>
        <w:rPr>
          <w:lang w:val="nl-NL"/>
        </w:rPr>
        <w:t>Vermeldenswaard is tenslotte dat tijdens de jongste restauratie, waarbij de kassen in de aangetroffen kleurstelling zijn overgeschilderd, ook de oorspronkelijke kleuren zijn aangetroffen. Gebleken is toen, dat in 1830 de ornamenten op de frontstijlen van de grote kas bij het rugwerk in schilderwerk waren overgenomen.</w:t>
      </w:r>
    </w:p>
    <w:p>
      <w:pPr>
        <w:pStyle w:val="T2Kuns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Boekzaal</w:t>
      </w:r>
      <w:r>
        <w:rPr>
          <w:lang w:val="nl-NL"/>
        </w:rPr>
        <w:t>, 1830B, 634-636.</w:t>
      </w:r>
    </w:p>
    <w:p>
      <w:pPr>
        <w:pStyle w:val="T3Lit"/>
        <w:jc w:val="start"/>
        <w:rPr/>
      </w:pPr>
      <w:r>
        <w:rPr>
          <w:lang w:val="nl-NL"/>
        </w:rPr>
        <w:t xml:space="preserve">Jan Jongepier, </w:t>
      </w:r>
      <w:r>
        <w:rPr>
          <w:i/>
          <w:iCs/>
          <w:lang w:val="nl-NL"/>
        </w:rPr>
        <w:t xml:space="preserve">Van Dam, Orgelbouwers in Friesland. </w:t>
      </w:r>
      <w:r>
        <w:rPr>
          <w:lang w:val="nl-NL"/>
        </w:rPr>
        <w:t xml:space="preserve"> Monument van de Maand, 7/3 (1992), 23.</w:t>
      </w:r>
    </w:p>
    <w:p>
      <w:pPr>
        <w:pStyle w:val="T3Lit"/>
        <w:rPr/>
      </w:pPr>
      <w:r>
        <w:rPr>
          <w:lang w:val="nl-NL"/>
        </w:rPr>
        <w:t xml:space="preserve">Jan Jongepier, </w:t>
      </w:r>
      <w:r>
        <w:rPr>
          <w:i/>
          <w:lang w:val="nl-NL"/>
        </w:rPr>
        <w:t>Vijf eeuwen Friese orgelbouw.</w:t>
      </w:r>
      <w:r>
        <w:rPr>
          <w:lang w:val="nl-NL"/>
        </w:rPr>
        <w:t xml:space="preserve"> Leeuwarden, 2004, 12-13, 26-27, 208.</w:t>
      </w:r>
    </w:p>
    <w:p>
      <w:pPr>
        <w:pStyle w:val="T3Lit"/>
        <w:jc w:val="start"/>
        <w:rPr/>
      </w:pPr>
      <w:r>
        <w:rPr>
          <w:lang w:val="nl-NL"/>
        </w:rPr>
        <w:t xml:space="preserve">N.A. Knock, </w:t>
      </w:r>
      <w:r>
        <w:rPr>
          <w:i/>
          <w:iCs/>
          <w:lang w:val="nl-NL"/>
        </w:rPr>
        <w:t>Dispositien</w:t>
      </w:r>
      <w:r>
        <w:rPr>
          <w:lang w:val="nl-NL"/>
        </w:rPr>
        <w:t>. Groningen, 1788, 33.</w:t>
      </w:r>
    </w:p>
    <w:p>
      <w:pPr>
        <w:pStyle w:val="T3Lit"/>
        <w:jc w:val="start"/>
        <w:rPr/>
      </w:pPr>
      <w:r>
        <w:rPr>
          <w:i/>
          <w:iCs/>
          <w:lang w:val="nl-NL"/>
        </w:rPr>
        <w:t>Leeuwarder Courant</w:t>
      </w:r>
      <w:r>
        <w:rPr>
          <w:lang w:val="nl-NL"/>
        </w:rPr>
        <w:t>, 16 december 1853.</w:t>
      </w:r>
    </w:p>
    <w:p>
      <w:pPr>
        <w:pStyle w:val="T3Lit"/>
        <w:jc w:val="start"/>
        <w:rPr/>
      </w:pPr>
      <w:r>
        <w:rPr>
          <w:lang w:val="nl-NL"/>
        </w:rPr>
        <w:t>‘</w:t>
      </w:r>
      <w:r>
        <w:rPr>
          <w:lang w:val="nl-NL"/>
        </w:rPr>
        <w:t xml:space="preserve">Het orgel in de Ned. Herv. Kerk te Stiens’. </w:t>
      </w:r>
      <w:r>
        <w:rPr>
          <w:i/>
          <w:iCs/>
          <w:lang w:val="nl-NL"/>
        </w:rPr>
        <w:t>Het Orgel</w:t>
      </w:r>
      <w:r>
        <w:rPr>
          <w:lang w:val="nl-NL"/>
        </w:rPr>
        <w:t>, 73/12 (1977), 409-411.</w:t>
      </w:r>
    </w:p>
    <w:p>
      <w:pPr>
        <w:pStyle w:val="T3Lit"/>
        <w:jc w:val="start"/>
        <w:rPr/>
      </w:pPr>
      <w:r>
        <w:rPr>
          <w:lang w:val="nl-NL"/>
        </w:rPr>
        <w:t xml:space="preserve">A.H. Vlagsma, </w:t>
      </w:r>
      <w:r>
        <w:rPr>
          <w:i/>
          <w:iCs/>
          <w:lang w:val="nl-NL"/>
        </w:rPr>
        <w:t>De Friese orgels tussen 1500 en 1750</w:t>
      </w:r>
      <w:r>
        <w:rPr>
          <w:lang w:val="nl-NL"/>
        </w:rPr>
        <w:t>. Leeuwarden, 2003, 48, 127, 220, 406.</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pPr>
      <w:r>
        <w:rPr>
          <w:lang w:val="nl-NL"/>
        </w:rPr>
        <w:t xml:space="preserve">H.P. Algra, </w:t>
      </w:r>
      <w:r>
        <w:rPr>
          <w:i/>
          <w:iCs/>
          <w:lang w:val="nl-NL"/>
        </w:rPr>
        <w:t>De orgelmaker Johann Michaell Schwartsburg en zijn werk</w:t>
      </w:r>
      <w:r>
        <w:rPr>
          <w:lang w:val="nl-NL"/>
        </w:rPr>
        <w:t>. Utrecht, 1987, 98-101.</w:t>
      </w:r>
    </w:p>
    <w:p>
      <w:pPr>
        <w:pStyle w:val="T3Lit"/>
        <w:jc w:val="start"/>
        <w:rPr>
          <w:lang w:val="nl-NL"/>
        </w:rPr>
      </w:pPr>
      <w:r>
        <w:rPr>
          <w:lang w:val="nl-NL"/>
        </w:rPr>
      </w:r>
    </w:p>
    <w:p>
      <w:pPr>
        <w:pStyle w:val="T3Lit"/>
        <w:jc w:val="start"/>
        <w:rPr>
          <w:lang w:val="nl-NL"/>
        </w:rPr>
      </w:pPr>
      <w:r>
        <w:rPr>
          <w:lang w:val="nl-NL"/>
        </w:rPr>
        <w:t>Monumentnummer 24542</w:t>
      </w:r>
    </w:p>
    <w:p>
      <w:pPr>
        <w:pStyle w:val="T3Lit"/>
        <w:jc w:val="start"/>
        <w:rPr>
          <w:lang w:val="nl-NL"/>
        </w:rPr>
      </w:pPr>
      <w:r>
        <w:rPr>
          <w:lang w:val="nl-NL"/>
        </w:rPr>
        <w:t>Orgelnummer 1410</w:t>
      </w:r>
    </w:p>
    <w:p>
      <w:pPr>
        <w:pStyle w:val="T1"/>
        <w:jc w:val="star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Arnold en Tobias Bader</w:t>
      </w:r>
    </w:p>
    <w:p>
      <w:pPr>
        <w:pStyle w:val="T1"/>
        <w:jc w:val="start"/>
        <w:rPr>
          <w:lang w:val="nl-NL"/>
        </w:rPr>
      </w:pPr>
      <w:r>
        <w:rPr>
          <w:lang w:val="nl-NL"/>
        </w:rPr>
        <w:t>2. Frans Rinses (kas), erven Pieter de Vries (binnenwerk)</w:t>
      </w:r>
    </w:p>
    <w:p>
      <w:pPr>
        <w:pStyle w:val="T1"/>
        <w:jc w:val="start"/>
        <w:rPr>
          <w:lang w:val="nl-NL"/>
        </w:rPr>
      </w:pPr>
      <w:r>
        <w:rPr>
          <w:lang w:val="nl-NL"/>
        </w:rPr>
        <w:t>3. L.J. en J. van Dam</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1647 (voormalige binnenwerk)</w:t>
      </w:r>
    </w:p>
    <w:p>
      <w:pPr>
        <w:pStyle w:val="T1"/>
        <w:jc w:val="start"/>
        <w:rPr>
          <w:lang w:val="nl-NL"/>
        </w:rPr>
      </w:pPr>
      <w:r>
        <w:rPr>
          <w:lang w:val="nl-NL"/>
        </w:rPr>
        <w:t>2. 1777</w:t>
      </w:r>
    </w:p>
    <w:p>
      <w:pPr>
        <w:pStyle w:val="T1"/>
        <w:jc w:val="start"/>
        <w:rPr>
          <w:lang w:val="nl-NL"/>
        </w:rPr>
      </w:pPr>
      <w:r>
        <w:rPr>
          <w:lang w:val="nl-NL"/>
        </w:rPr>
        <w:t>3. 1830</w:t>
      </w:r>
    </w:p>
    <w:p>
      <w:pPr>
        <w:pStyle w:val="T1"/>
        <w:jc w:val="start"/>
        <w:rPr>
          <w:lang w:val="nl-NL"/>
        </w:rPr>
      </w:pPr>
      <w:r>
        <w:rPr>
          <w:lang w:val="nl-NL"/>
        </w:rPr>
      </w:r>
    </w:p>
    <w:p>
      <w:pPr>
        <w:pStyle w:val="T1"/>
        <w:jc w:val="start"/>
        <w:rPr/>
      </w:pPr>
      <w:r>
        <w:rPr/>
        <w:t>Dispositie 1647 volgens Knock</w:t>
      </w:r>
    </w:p>
    <w:tbl>
      <w:tblPr>
        <w:tblW w:w="2139" w:type="dxa"/>
        <w:jc w:val="start"/>
        <w:tblInd w:w="-70" w:type="dxa"/>
        <w:tblLayout w:type="fixed"/>
        <w:tblCellMar>
          <w:top w:w="0" w:type="dxa"/>
          <w:start w:w="70" w:type="dxa"/>
          <w:bottom w:w="0" w:type="dxa"/>
          <w:end w:w="70" w:type="dxa"/>
        </w:tblCellMar>
      </w:tblPr>
      <w:tblGrid>
        <w:gridCol w:w="1103"/>
        <w:gridCol w:w="1036"/>
      </w:tblGrid>
      <w:tr>
        <w:trPr/>
        <w:tc>
          <w:tcPr>
            <w:tcW w:w="1103" w:type="dxa"/>
            <w:tcBorders/>
          </w:tcPr>
          <w:p>
            <w:pPr>
              <w:pStyle w:val="T4dispositie"/>
              <w:rPr>
                <w:i/>
                <w:i/>
                <w:iCs/>
                <w:lang w:val="nl-NL"/>
              </w:rPr>
            </w:pPr>
            <w:r>
              <w:rPr>
                <w:i/>
                <w:iCs/>
                <w:lang w:val="nl-NL"/>
              </w:rPr>
              <w:t>Manuaal</w:t>
            </w:r>
          </w:p>
          <w:p>
            <w:pPr>
              <w:pStyle w:val="T4dispositie"/>
              <w:rPr>
                <w:lang w:val="nl-NL"/>
              </w:rPr>
            </w:pPr>
            <w:r>
              <w:rPr>
                <w:lang w:val="nl-NL"/>
              </w:rPr>
              <w:t>Holpyp</w:t>
            </w:r>
          </w:p>
          <w:p>
            <w:pPr>
              <w:pStyle w:val="T4dispositie"/>
              <w:rPr>
                <w:lang w:val="nl-NL"/>
              </w:rPr>
            </w:pPr>
            <w:r>
              <w:rPr>
                <w:lang w:val="nl-NL"/>
              </w:rPr>
              <w:t>Praestant</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Mixtuur</w:t>
            </w:r>
          </w:p>
        </w:tc>
        <w:tc>
          <w:tcPr>
            <w:tcW w:w="1036"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1 1/2'</w:t>
            </w:r>
          </w:p>
          <w:p>
            <w:pPr>
              <w:pStyle w:val="T4dispositie"/>
              <w:rPr>
                <w:lang w:val="nl-NL"/>
              </w:rPr>
            </w:pPr>
            <w:r>
              <w:rPr>
                <w:lang w:val="nl-NL"/>
              </w:rPr>
              <w:t>3-4-5 st.</w:t>
            </w:r>
          </w:p>
        </w:tc>
      </w:tr>
    </w:tbl>
    <w:p>
      <w:pPr>
        <w:pStyle w:val="T4dispositie"/>
        <w:rPr>
          <w:lang w:val="nl-NL"/>
        </w:rPr>
      </w:pPr>
      <w:r>
        <w:rPr>
          <w:lang w:val="nl-NL"/>
        </w:rPr>
      </w:r>
    </w:p>
    <w:p>
      <w:pPr>
        <w:pStyle w:val="T4dispositie"/>
        <w:rPr>
          <w:lang w:val="nl-NL"/>
        </w:rPr>
      </w:pPr>
      <w:r>
        <w:rPr>
          <w:lang w:val="nl-NL"/>
        </w:rPr>
        <w:t>onbekend register</w:t>
      </w:r>
    </w:p>
    <w:p>
      <w:pPr>
        <w:pStyle w:val="T4dispositie"/>
        <w:rPr>
          <w:lang w:val="nl-NL"/>
        </w:rPr>
      </w:pPr>
      <w:r>
        <w:rPr>
          <w:lang w:val="nl-NL"/>
        </w:rPr>
        <w:t>tremulant</w:t>
      </w:r>
    </w:p>
    <w:p>
      <w:pPr>
        <w:pStyle w:val="T4dispositie"/>
        <w:rPr>
          <w:lang w:val="nl-NL"/>
        </w:rPr>
      </w:pPr>
      <w:r>
        <w:rPr>
          <w:lang w:val="nl-NL"/>
        </w:rPr>
        <w:t>manuaalomvang 45 tonen.</w:t>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Johann Michaell Schwartzburg 1729</w:t>
      </w:r>
    </w:p>
    <w:p>
      <w:pPr>
        <w:pStyle w:val="T1"/>
        <w:numPr>
          <w:ilvl w:val="0"/>
          <w:numId w:val="4"/>
        </w:numPr>
        <w:jc w:val="start"/>
        <w:rPr>
          <w:lang w:val="nl-NL"/>
        </w:rPr>
      </w:pPr>
      <w:r>
        <w:rPr>
          <w:lang w:val="nl-NL"/>
        </w:rPr>
        <w:t>orgel schoongemaakt, balgen hersteld</w:t>
      </w:r>
    </w:p>
    <w:p>
      <w:pPr>
        <w:pStyle w:val="T1"/>
        <w:numPr>
          <w:ilvl w:val="0"/>
          <w:numId w:val="4"/>
        </w:numPr>
        <w:jc w:val="start"/>
        <w:rPr>
          <w:lang w:val="nl-NL"/>
        </w:rPr>
      </w:pPr>
      <w:r>
        <w:rPr>
          <w:lang w:val="nl-NL"/>
        </w:rPr>
        <w:t>+ Trompet 8'</w:t>
      </w:r>
    </w:p>
    <w:p>
      <w:pPr>
        <w:pStyle w:val="T1"/>
        <w:jc w:val="start"/>
        <w:rPr>
          <w:lang w:val="nl-NL"/>
        </w:rPr>
      </w:pPr>
      <w:r>
        <w:rPr>
          <w:lang w:val="nl-NL"/>
        </w:rPr>
      </w:r>
    </w:p>
    <w:p>
      <w:pPr>
        <w:pStyle w:val="T1"/>
        <w:jc w:val="start"/>
        <w:rPr>
          <w:lang w:val="nl-NL"/>
        </w:rPr>
      </w:pPr>
      <w:r>
        <w:rPr>
          <w:lang w:val="nl-NL"/>
        </w:rPr>
        <w:t>Erven Pieter de Vries 1777</w:t>
      </w:r>
    </w:p>
    <w:p>
      <w:pPr>
        <w:pStyle w:val="T1"/>
        <w:numPr>
          <w:ilvl w:val="0"/>
          <w:numId w:val="2"/>
        </w:numPr>
        <w:jc w:val="start"/>
        <w:rPr>
          <w:lang w:val="nl-NL"/>
        </w:rPr>
      </w:pPr>
      <w:r>
        <w:rPr>
          <w:lang w:val="nl-NL"/>
        </w:rPr>
        <w:t>nieuwe acht-voets orgelkas geleverd</w:t>
      </w:r>
    </w:p>
    <w:p>
      <w:pPr>
        <w:pStyle w:val="T1"/>
        <w:numPr>
          <w:ilvl w:val="0"/>
          <w:numId w:val="2"/>
        </w:numPr>
        <w:jc w:val="start"/>
        <w:rPr>
          <w:lang w:val="nl-NL"/>
        </w:rPr>
      </w:pPr>
      <w:r>
        <w:rPr>
          <w:lang w:val="nl-NL"/>
        </w:rPr>
        <w:t>orgel verbouwd en in nieuwe kas geplaatst</w:t>
      </w:r>
    </w:p>
    <w:p>
      <w:pPr>
        <w:pStyle w:val="T1"/>
        <w:jc w:val="start"/>
        <w:rPr>
          <w:lang w:val="nl-NL"/>
        </w:rPr>
      </w:pPr>
      <w:r>
        <w:rPr>
          <w:lang w:val="nl-NL"/>
        </w:rPr>
      </w:r>
    </w:p>
    <w:p>
      <w:pPr>
        <w:pStyle w:val="T1"/>
        <w:jc w:val="start"/>
        <w:rPr>
          <w:lang w:val="nl-NL"/>
        </w:rPr>
      </w:pPr>
      <w:r>
        <w:rPr>
          <w:lang w:val="nl-NL"/>
        </w:rPr>
        <w:t>Gottlieb Heyneman 1781</w:t>
      </w:r>
    </w:p>
    <w:p>
      <w:pPr>
        <w:pStyle w:val="T1"/>
        <w:numPr>
          <w:ilvl w:val="0"/>
          <w:numId w:val="7"/>
        </w:numPr>
        <w:jc w:val="start"/>
        <w:rPr>
          <w:lang w:val="nl-NL"/>
        </w:rPr>
      </w:pPr>
      <w:r>
        <w:rPr>
          <w:lang w:val="nl-NL"/>
        </w:rPr>
        <w:t>schoonmaak en herstel</w:t>
      </w:r>
    </w:p>
    <w:p>
      <w:pPr>
        <w:pStyle w:val="T1"/>
        <w:jc w:val="start"/>
        <w:rPr>
          <w:lang w:val="nl-NL"/>
        </w:rPr>
      </w:pPr>
      <w:r>
        <w:rPr>
          <w:lang w:val="nl-NL"/>
        </w:rPr>
      </w:r>
    </w:p>
    <w:p>
      <w:pPr>
        <w:pStyle w:val="T1"/>
        <w:jc w:val="start"/>
        <w:rPr>
          <w:lang w:val="nl-NL"/>
        </w:rPr>
      </w:pPr>
      <w:r>
        <w:rPr>
          <w:lang w:val="nl-NL"/>
        </w:rPr>
        <w:t>Albertus van Gruisen 1793</w:t>
      </w:r>
    </w:p>
    <w:p>
      <w:pPr>
        <w:pStyle w:val="T1"/>
        <w:numPr>
          <w:ilvl w:val="0"/>
          <w:numId w:val="7"/>
        </w:numPr>
        <w:jc w:val="start"/>
        <w:rPr>
          <w:lang w:val="nl-NL"/>
        </w:rPr>
      </w:pPr>
      <w:r>
        <w:rPr>
          <w:lang w:val="nl-NL"/>
        </w:rPr>
        <w:t>reparatie</w:t>
      </w:r>
    </w:p>
    <w:p>
      <w:pPr>
        <w:pStyle w:val="T1"/>
        <w:jc w:val="start"/>
        <w:rPr>
          <w:lang w:val="nl-NL"/>
        </w:rPr>
      </w:pPr>
      <w:r>
        <w:rPr>
          <w:lang w:val="nl-NL"/>
        </w:rPr>
      </w:r>
    </w:p>
    <w:p>
      <w:pPr>
        <w:pStyle w:val="T1"/>
        <w:jc w:val="start"/>
        <w:rPr>
          <w:lang w:val="nl-NL"/>
        </w:rPr>
      </w:pPr>
      <w:r>
        <w:rPr>
          <w:lang w:val="nl-NL"/>
        </w:rPr>
        <w:t>Luitjen Jacob en Jacob van Dam 1830</w:t>
      </w:r>
    </w:p>
    <w:p>
      <w:pPr>
        <w:pStyle w:val="T1"/>
        <w:numPr>
          <w:ilvl w:val="0"/>
          <w:numId w:val="7"/>
        </w:numPr>
        <w:jc w:val="start"/>
        <w:rPr>
          <w:lang w:val="nl-NL"/>
        </w:rPr>
      </w:pPr>
      <w:r>
        <w:rPr>
          <w:lang w:val="nl-NL"/>
        </w:rPr>
        <w:t>orgel vernieuwd, rugpositief toegevoegd</w:t>
      </w:r>
    </w:p>
    <w:p>
      <w:pPr>
        <w:pStyle w:val="T1"/>
        <w:jc w:val="start"/>
        <w:rPr>
          <w:lang w:val="nl-NL"/>
        </w:rPr>
      </w:pPr>
      <w:r>
        <w:rPr>
          <w:lang w:val="nl-NL"/>
        </w:rPr>
      </w:r>
    </w:p>
    <w:p>
      <w:pPr>
        <w:pStyle w:val="T1"/>
        <w:jc w:val="start"/>
        <w:rPr>
          <w:lang w:val="nl-NL"/>
        </w:rPr>
      </w:pPr>
      <w:r>
        <w:rPr>
          <w:lang w:val="nl-NL"/>
        </w:rPr>
        <w:t>Willem Hardorff 1853</w:t>
      </w:r>
    </w:p>
    <w:p>
      <w:pPr>
        <w:pStyle w:val="T1"/>
        <w:numPr>
          <w:ilvl w:val="0"/>
          <w:numId w:val="7"/>
        </w:numPr>
        <w:jc w:val="start"/>
        <w:rPr>
          <w:lang w:val="nl-NL"/>
        </w:rPr>
      </w:pPr>
      <w:r>
        <w:rPr>
          <w:lang w:val="nl-NL"/>
        </w:rPr>
        <w:t>orgel verplaatst naar nieuwe galerij aan de oostzijde van het kerkgebouw</w:t>
      </w:r>
    </w:p>
    <w:p>
      <w:pPr>
        <w:pStyle w:val="T1"/>
        <w:numPr>
          <w:ilvl w:val="0"/>
          <w:numId w:val="7"/>
        </w:numPr>
        <w:jc w:val="start"/>
        <w:rPr>
          <w:lang w:val="nl-NL"/>
        </w:rPr>
      </w:pPr>
      <w:r>
        <w:rPr>
          <w:lang w:val="nl-NL"/>
        </w:rPr>
        <w:t>HW + Boardon B 16'</w:t>
      </w:r>
    </w:p>
    <w:p>
      <w:pPr>
        <w:pStyle w:val="T1"/>
        <w:jc w:val="start"/>
        <w:rPr>
          <w:lang w:val="nl-NL"/>
        </w:rPr>
      </w:pPr>
      <w:r>
        <w:rPr>
          <w:lang w:val="nl-NL"/>
        </w:rPr>
      </w:r>
    </w:p>
    <w:p>
      <w:pPr>
        <w:pStyle w:val="T1"/>
        <w:jc w:val="start"/>
        <w:rPr>
          <w:lang w:val="nl-NL"/>
        </w:rPr>
      </w:pPr>
      <w:r>
        <w:rPr>
          <w:lang w:val="nl-NL"/>
        </w:rPr>
        <w:t>Bakker &amp; Timmenga 1913</w:t>
      </w:r>
    </w:p>
    <w:p>
      <w:pPr>
        <w:pStyle w:val="T1"/>
        <w:numPr>
          <w:ilvl w:val="0"/>
          <w:numId w:val="5"/>
        </w:numPr>
        <w:jc w:val="start"/>
        <w:rPr>
          <w:lang w:val="nl-NL"/>
        </w:rPr>
      </w:pPr>
      <w:r>
        <w:rPr>
          <w:lang w:val="nl-NL"/>
        </w:rPr>
        <w:t>orgel gedemonteerd en weer opgebouwd in verband met werkzaamheden kerkinterieur</w:t>
      </w:r>
    </w:p>
    <w:p>
      <w:pPr>
        <w:pStyle w:val="T1"/>
        <w:numPr>
          <w:ilvl w:val="0"/>
          <w:numId w:val="5"/>
        </w:numPr>
        <w:jc w:val="start"/>
        <w:rPr>
          <w:lang w:val="nl-NL"/>
        </w:rPr>
      </w:pPr>
      <w:r>
        <w:rPr>
          <w:lang w:val="nl-NL"/>
        </w:rPr>
        <w:t>grotere open pijpen opgeschoven en van expressions voorzien</w:t>
      </w:r>
    </w:p>
    <w:p>
      <w:pPr>
        <w:pStyle w:val="T1"/>
        <w:jc w:val="start"/>
        <w:rPr>
          <w:lang w:val="nl-NL"/>
        </w:rPr>
      </w:pPr>
      <w:r>
        <w:rPr>
          <w:lang w:val="nl-NL"/>
        </w:rPr>
      </w:r>
    </w:p>
    <w:p>
      <w:pPr>
        <w:pStyle w:val="T1"/>
        <w:jc w:val="start"/>
        <w:rPr>
          <w:lang w:val="nl-NL"/>
        </w:rPr>
      </w:pPr>
      <w:r>
        <w:rPr>
          <w:lang w:val="nl-NL"/>
        </w:rPr>
        <w:t>J. van der Bliek 1954</w:t>
      </w:r>
    </w:p>
    <w:p>
      <w:pPr>
        <w:pStyle w:val="T1"/>
        <w:numPr>
          <w:ilvl w:val="0"/>
          <w:numId w:val="3"/>
        </w:numPr>
        <w:jc w:val="start"/>
        <w:rPr>
          <w:lang w:val="nl-NL"/>
        </w:rPr>
      </w:pPr>
      <w:r>
        <w:rPr>
          <w:lang w:val="nl-NL"/>
        </w:rPr>
        <w:t>herstel</w:t>
      </w:r>
    </w:p>
    <w:p>
      <w:pPr>
        <w:pStyle w:val="T1"/>
        <w:numPr>
          <w:ilvl w:val="0"/>
          <w:numId w:val="3"/>
        </w:numPr>
        <w:jc w:val="start"/>
        <w:rPr>
          <w:lang w:val="nl-NL"/>
        </w:rPr>
      </w:pPr>
      <w:r>
        <w:rPr>
          <w:lang w:val="nl-NL"/>
        </w:rPr>
        <w:t>nieuw pedaalklavier</w:t>
      </w:r>
    </w:p>
    <w:p>
      <w:pPr>
        <w:pStyle w:val="T1"/>
        <w:numPr>
          <w:ilvl w:val="0"/>
          <w:numId w:val="3"/>
        </w:numPr>
        <w:jc w:val="start"/>
        <w:rPr>
          <w:lang w:val="nl-NL"/>
        </w:rPr>
      </w:pPr>
      <w:r>
        <w:rPr>
          <w:lang w:val="nl-NL"/>
        </w:rPr>
        <w:t>nieuwe registeropschriften over de oude heen</w:t>
      </w:r>
    </w:p>
    <w:p>
      <w:pPr>
        <w:pStyle w:val="T1"/>
        <w:jc w:val="start"/>
        <w:rPr>
          <w:lang w:val="nl-NL"/>
        </w:rPr>
      </w:pPr>
      <w:r>
        <w:rPr>
          <w:lang w:val="nl-NL"/>
        </w:rPr>
      </w:r>
    </w:p>
    <w:p>
      <w:pPr>
        <w:pStyle w:val="T1"/>
        <w:jc w:val="start"/>
        <w:rPr>
          <w:lang w:val="nl-NL"/>
        </w:rPr>
      </w:pPr>
      <w:r>
        <w:rPr>
          <w:lang w:val="nl-NL"/>
        </w:rPr>
        <w:t>Orgelmakerij Bakker &amp; Timmenga 1976</w:t>
      </w:r>
    </w:p>
    <w:p>
      <w:pPr>
        <w:pStyle w:val="T1"/>
        <w:numPr>
          <w:ilvl w:val="0"/>
          <w:numId w:val="6"/>
        </w:numPr>
        <w:jc w:val="start"/>
        <w:rPr>
          <w:lang w:val="nl-NL"/>
        </w:rPr>
      </w:pPr>
      <w:r>
        <w:rPr>
          <w:lang w:val="nl-NL"/>
        </w:rPr>
        <w:t>restauratie</w:t>
      </w:r>
    </w:p>
    <w:p>
      <w:pPr>
        <w:pStyle w:val="T1"/>
        <w:numPr>
          <w:ilvl w:val="0"/>
          <w:numId w:val="6"/>
        </w:numPr>
        <w:jc w:val="start"/>
        <w:rPr>
          <w:lang w:val="nl-NL"/>
        </w:rPr>
      </w:pPr>
      <w:r>
        <w:rPr>
          <w:lang w:val="nl-NL"/>
        </w:rPr>
        <w:t>orgel teruggeplaatst naar oorspronkelijke galerij aan de westzijde van het kerkgebouw</w:t>
      </w:r>
    </w:p>
    <w:p>
      <w:pPr>
        <w:pStyle w:val="T1"/>
        <w:numPr>
          <w:ilvl w:val="0"/>
          <w:numId w:val="6"/>
        </w:numPr>
        <w:jc w:val="start"/>
        <w:rPr>
          <w:lang w:val="nl-NL"/>
        </w:rPr>
      </w:pPr>
      <w:r>
        <w:rPr>
          <w:lang w:val="nl-NL"/>
        </w:rPr>
        <w:t>wijzigingen pijpwerk ongedaan gemaakt</w:t>
      </w:r>
    </w:p>
    <w:p>
      <w:pPr>
        <w:pStyle w:val="T1"/>
        <w:numPr>
          <w:ilvl w:val="0"/>
          <w:numId w:val="6"/>
        </w:numPr>
        <w:jc w:val="start"/>
        <w:rPr>
          <w:lang w:val="nl-NL"/>
        </w:rPr>
      </w:pPr>
      <w:r>
        <w:rPr>
          <w:lang w:val="nl-NL"/>
        </w:rPr>
        <w:t>nieuw pedaalklavier aangebracht</w:t>
      </w:r>
    </w:p>
    <w:p>
      <w:pPr>
        <w:pStyle w:val="T1"/>
        <w:numPr>
          <w:ilvl w:val="0"/>
          <w:numId w:val="6"/>
        </w:numPr>
        <w:jc w:val="start"/>
        <w:rPr>
          <w:lang w:val="nl-NL"/>
        </w:rPr>
      </w:pPr>
      <w:r>
        <w:rPr>
          <w:lang w:val="nl-NL"/>
        </w:rPr>
        <w:t>registeropschriften 1954 verwijderd</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aangehangen pedaal</w:t>
      </w:r>
    </w:p>
    <w:p>
      <w:pPr>
        <w:pStyle w:val="T1"/>
        <w:jc w:val="start"/>
        <w:rPr>
          <w:lang w:val="nl-NL"/>
        </w:rPr>
      </w:pPr>
      <w:r>
        <w:rPr>
          <w:lang w:val="nl-NL"/>
        </w:rPr>
      </w:r>
    </w:p>
    <w:p>
      <w:pPr>
        <w:pStyle w:val="T1"/>
        <w:jc w:val="start"/>
        <w:rPr/>
      </w:pPr>
      <w:r>
        <w:rPr/>
        <w:t>Dispositie</w:t>
      </w:r>
    </w:p>
    <w:tbl>
      <w:tblPr>
        <w:tblW w:w="4535" w:type="dxa"/>
        <w:jc w:val="start"/>
        <w:tblInd w:w="0" w:type="dxa"/>
        <w:tblLayout w:type="fixed"/>
        <w:tblCellMar>
          <w:top w:w="0" w:type="dxa"/>
          <w:start w:w="0" w:type="dxa"/>
          <w:bottom w:w="0" w:type="dxa"/>
          <w:end w:w="0" w:type="dxa"/>
        </w:tblCellMar>
      </w:tblPr>
      <w:tblGrid>
        <w:gridCol w:w="1530"/>
        <w:gridCol w:w="737"/>
        <w:gridCol w:w="1531"/>
        <w:gridCol w:w="737"/>
      </w:tblGrid>
      <w:tr>
        <w:trPr/>
        <w:tc>
          <w:tcPr>
            <w:tcW w:w="153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Boardon B</w:t>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Tertsiaan</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[3-5 st.]</w:t>
            </w:r>
          </w:p>
          <w:p>
            <w:pPr>
              <w:pStyle w:val="T4dispositie"/>
              <w:jc w:val="start"/>
              <w:rPr>
                <w:lang w:val="nl-NL"/>
              </w:rPr>
            </w:pPr>
            <w:r>
              <w:rPr>
                <w:lang w:val="nl-NL"/>
              </w:rPr>
              <w:t>[3 st.]</w:t>
            </w:r>
          </w:p>
          <w:p>
            <w:pPr>
              <w:pStyle w:val="T4dispositie"/>
              <w:jc w:val="start"/>
              <w:rPr>
                <w:lang w:val="nl-NL"/>
              </w:rPr>
            </w:pPr>
            <w:r>
              <w:rPr>
                <w:lang w:val="nl-NL"/>
              </w:rPr>
              <w:t>8'</w:t>
            </w:r>
          </w:p>
        </w:tc>
        <w:tc>
          <w:tcPr>
            <w:tcW w:w="1531" w:type="dxa"/>
            <w:tcBorders/>
          </w:tcPr>
          <w:p>
            <w:pPr>
              <w:pStyle w:val="T4dispositie"/>
              <w:jc w:val="start"/>
              <w:rPr>
                <w:i/>
                <w:i/>
                <w:iCs/>
                <w:lang w:val="nl-NL"/>
              </w:rPr>
            </w:pPr>
            <w:r>
              <w:rPr>
                <w:i/>
                <w:iCs/>
                <w:lang w:val="nl-NL"/>
              </w:rPr>
              <w:t>Rugpositief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Holpijp B/D</w:t>
            </w:r>
          </w:p>
          <w:p>
            <w:pPr>
              <w:pStyle w:val="T4dispositie"/>
              <w:jc w:val="start"/>
              <w:rPr>
                <w:lang w:val="nl-NL"/>
              </w:rPr>
            </w:pPr>
            <w:r>
              <w:rPr>
                <w:lang w:val="nl-NL"/>
              </w:rPr>
              <w:t>Viola D</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Dulciaan B/D</w:t>
            </w:r>
          </w:p>
        </w:tc>
        <w:tc>
          <w:tcPr>
            <w:tcW w:w="7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schuifkoppel HW-RP</w:t>
      </w:r>
    </w:p>
    <w:p>
      <w:pPr>
        <w:pStyle w:val="T1"/>
        <w:jc w:val="start"/>
        <w:rPr>
          <w:lang w:val="nl-NL"/>
        </w:rPr>
      </w:pPr>
      <w:r>
        <w:rPr>
          <w:lang w:val="nl-NL"/>
        </w:rPr>
        <w:t>tremulant</w:t>
      </w:r>
    </w:p>
    <w:p>
      <w:pPr>
        <w:pStyle w:val="T1"/>
        <w:jc w:val="start"/>
        <w:rPr>
          <w:lang w:val="nl-NL"/>
        </w:rPr>
      </w:pPr>
      <w:r>
        <w:rPr>
          <w:lang w:val="nl-NL"/>
        </w:rPr>
        <w:t>windlossing</w:t>
      </w:r>
    </w:p>
    <w:p>
      <w:pPr>
        <w:pStyle w:val="T1"/>
        <w:jc w:val="start"/>
        <w:rPr>
          <w:lang w:val="nl-NL"/>
        </w:rPr>
      </w:pPr>
      <w:r>
        <w:rPr>
          <w:lang w:val="nl-NL"/>
        </w:rPr>
        <w:t>afsluitingen HW en RP</w:t>
      </w:r>
    </w:p>
    <w:p>
      <w:pPr>
        <w:pStyle w:val="T1"/>
        <w:jc w:val="start"/>
        <w:rPr>
          <w:lang w:val="nl-NL"/>
        </w:rPr>
      </w:pPr>
      <w:r>
        <w:rPr>
          <w:lang w:val="nl-NL"/>
        </w:rPr>
      </w:r>
    </w:p>
    <w:p>
      <w:pPr>
        <w:pStyle w:val="T1"/>
        <w:jc w:val="start"/>
        <w:rPr>
          <w:lang w:val="nl-NL"/>
        </w:rPr>
      </w:pPr>
      <w:r>
        <w:rPr>
          <w:lang w:val="nl-NL"/>
        </w:rPr>
        <w:t>Samenstelling vulstemmen</w:t>
      </w:r>
    </w:p>
    <w:tbl>
      <w:tblPr>
        <w:tblW w:w="3697" w:type="dxa"/>
        <w:jc w:val="start"/>
        <w:tblInd w:w="-70" w:type="dxa"/>
        <w:tblLayout w:type="fixed"/>
        <w:tblCellMar>
          <w:top w:w="0" w:type="dxa"/>
          <w:start w:w="70" w:type="dxa"/>
          <w:bottom w:w="0" w:type="dxa"/>
          <w:end w:w="70" w:type="dxa"/>
        </w:tblCellMar>
      </w:tblPr>
      <w:tblGrid>
        <w:gridCol w:w="1000"/>
        <w:gridCol w:w="548"/>
        <w:gridCol w:w="721"/>
        <w:gridCol w:w="721"/>
        <w:gridCol w:w="707"/>
      </w:tblGrid>
      <w:tr>
        <w:trPr/>
        <w:tc>
          <w:tcPr>
            <w:tcW w:w="1000" w:type="dxa"/>
            <w:tcBorders/>
          </w:tcPr>
          <w:p>
            <w:pPr>
              <w:pStyle w:val="T1"/>
              <w:jc w:val="start"/>
              <w:rPr>
                <w:lang w:val="nl-NL"/>
              </w:rPr>
            </w:pPr>
            <w:r>
              <w:rPr>
                <w:lang w:val="nl-NL"/>
              </w:rPr>
              <w:t>Mixtuur</w:t>
            </w:r>
          </w:p>
        </w:tc>
        <w:tc>
          <w:tcPr>
            <w:tcW w:w="548" w:type="dxa"/>
            <w:tcBorders/>
          </w:tcPr>
          <w:p>
            <w:pPr>
              <w:pStyle w:val="T4dispositie"/>
              <w:jc w:val="start"/>
              <w:rPr>
                <w:lang w:val="nl-NL"/>
              </w:rPr>
            </w:pPr>
            <w:r>
              <w:rPr>
                <w:lang w:val="nl-NL"/>
              </w:rPr>
              <w:t>C</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721"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1 1/3</w:t>
            </w:r>
          </w:p>
        </w:tc>
        <w:tc>
          <w:tcPr>
            <w:tcW w:w="721"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3/5</w:t>
            </w:r>
          </w:p>
        </w:tc>
        <w:tc>
          <w:tcPr>
            <w:tcW w:w="707" w:type="dxa"/>
            <w:tcBorders/>
          </w:tcPr>
          <w:p>
            <w:pPr>
              <w:pStyle w:val="T4dispositie"/>
              <w:jc w:val="start"/>
              <w:rPr/>
            </w:pPr>
            <w:r>
              <w:rPr>
                <w:lang w:val="nl-NL"/>
              </w:rPr>
              <w:t>c</w:t>
            </w:r>
            <w:r>
              <w:rPr>
                <w:vertAlign w:val="superscript"/>
                <w:lang w:val="nl-NL"/>
              </w:rPr>
              <w:t>3</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 1/5</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tbl>
      <w:tblPr>
        <w:tblW w:w="2552" w:type="dxa"/>
        <w:jc w:val="start"/>
        <w:tblInd w:w="0" w:type="dxa"/>
        <w:tblLayout w:type="fixed"/>
        <w:tblCellMar>
          <w:top w:w="0" w:type="dxa"/>
          <w:start w:w="0" w:type="dxa"/>
          <w:bottom w:w="0" w:type="dxa"/>
          <w:end w:w="0" w:type="dxa"/>
        </w:tblCellMar>
      </w:tblPr>
      <w:tblGrid>
        <w:gridCol w:w="993"/>
        <w:gridCol w:w="708"/>
        <w:gridCol w:w="851"/>
      </w:tblGrid>
      <w:tr>
        <w:trPr/>
        <w:tc>
          <w:tcPr>
            <w:tcW w:w="993" w:type="dxa"/>
            <w:tcBorders/>
          </w:tcPr>
          <w:p>
            <w:pPr>
              <w:pStyle w:val="T1"/>
              <w:jc w:val="start"/>
              <w:rPr>
                <w:lang w:val="nl-NL"/>
              </w:rPr>
            </w:pPr>
            <w:r>
              <w:rPr>
                <w:lang w:val="nl-NL"/>
              </w:rPr>
              <w:t>Cornet</w:t>
            </w:r>
          </w:p>
        </w:tc>
        <w:tc>
          <w:tcPr>
            <w:tcW w:w="708" w:type="dxa"/>
            <w:tcBorders/>
          </w:tcPr>
          <w:p>
            <w:pPr>
              <w:pStyle w:val="T4dispositie"/>
              <w:jc w:val="start"/>
              <w:rPr>
                <w:lang w:val="nl-NL"/>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3 1/5</w:t>
            </w:r>
          </w:p>
          <w:p>
            <w:pPr>
              <w:pStyle w:val="T4dispositie"/>
              <w:jc w:val="start"/>
              <w:rPr>
                <w:lang w:val="nl-NL"/>
              </w:rPr>
            </w:pPr>
            <w:r>
              <w:rPr>
                <w:lang w:val="nl-NL"/>
              </w:rPr>
              <w:t>2 2/3</w:t>
            </w:r>
          </w:p>
        </w:tc>
        <w:tc>
          <w:tcPr>
            <w:tcW w:w="851" w:type="dxa"/>
            <w:tcBorders/>
          </w:tcPr>
          <w:p>
            <w:pPr>
              <w:pStyle w:val="T4dispositie"/>
              <w:jc w:val="start"/>
              <w:rPr>
                <w:lang w:val="nl-NL"/>
              </w:rPr>
            </w:pPr>
            <w:r>
              <w:rPr>
                <w:lang w:val="nl-NL"/>
              </w:rPr>
              <w:t>c</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3 1/5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drie spaanbalgen (1830)</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 de discantregisters beginnen op c</w:t>
      </w:r>
      <w:r>
        <w:rPr>
          <w:vertAlign w:val="superscript"/>
          <w:lang w:val="nl-NL"/>
        </w:rPr>
        <w:t>1</w:t>
      </w:r>
      <w:r>
        <w:rPr>
          <w:lang w:val="nl-NL"/>
        </w:rPr>
        <w:t>.</w:t>
      </w:r>
    </w:p>
    <w:p>
      <w:pPr>
        <w:pStyle w:val="T1"/>
        <w:jc w:val="start"/>
        <w:rPr>
          <w:lang w:val="nl-NL"/>
        </w:rPr>
      </w:pPr>
      <w:r>
        <w:rPr>
          <w:lang w:val="nl-NL"/>
        </w:rPr>
        <w:t>In de archivalische gegevens rond de verbouwing van 1777 komt de naam van de orgelmaker Pieter de Vries niet voor. Mogelijk hangt dit samen met het feit dat hij in dat jaar overleed. De werkzaamheden aan kas en orgel zijn separaat aan de verschillende uitvoerders uitbetaald. Omdat de erven na 1777 nog enige tijd onderhoud hebben verricht en een zoon van De Vries tot organist werd benoemd, is ervoor gekozen, de werkzaamheden, die vrij omvangrijk moeten zijn geweest, hier aan ‘de erven Pieter de Vries’ toe te schrijven.</w:t>
      </w:r>
    </w:p>
    <w:p>
      <w:pPr>
        <w:pStyle w:val="T1"/>
        <w:jc w:val="start"/>
        <w:rPr>
          <w:lang w:val="nl-NL"/>
        </w:rPr>
      </w:pPr>
      <w:r>
        <w:rPr>
          <w:lang w:val="nl-NL"/>
        </w:rPr>
        <w:t>Het pijpwerk van de orgelmakers Bader en de Trompet van 1729 bevinden zich nog steeds in het orgel, waarschijnlijk wel met uitzondering van kleinere pijpjes. Daarnaast is door de orgelmakers Van Dam in 1830 aanvullend ouder labiaalpijpwerk geleverd, dat ook uit de 17e eeuw dateert. Ook het tongwerk op het RP is ouder, mogelijk 18e-eeuws, (Rijnland?). Dit register bezat oorspronkelijk een omvang van 49 tonen. Pijpwerk uit 1830 wordt aangetroffen in de beide fronten, alsmede de binnenpijpen van de Prestant 4' (RP), de Viola, en het groot octaaf van de beide Holpijpen. Bovendien zijn in 1830 de oude registers in het groot octaaf aangevuld.</w:t>
      </w:r>
    </w:p>
    <w:p>
      <w:pPr>
        <w:pStyle w:val="T1"/>
        <w:jc w:val="start"/>
        <w:rPr/>
      </w:pPr>
      <w:r>
        <w:rPr>
          <w:lang w:val="nl-NL"/>
        </w:rPr>
        <w:t>De gehele technische aanleg van het orgel dateert uit 1830. De balgen bevinden zich in een balgenkas die achter de hoofdkas is geplaatst. De cancelvolgorde van beide windladen is: G-f</w:t>
      </w:r>
      <w:r>
        <w:rPr>
          <w:vertAlign w:val="superscript"/>
          <w:lang w:val="nl-NL"/>
        </w:rPr>
        <w:t>3</w:t>
      </w:r>
      <w:r>
        <w:rPr>
          <w:lang w:val="nl-NL"/>
        </w:rPr>
        <w:t xml:space="preserve"> F Dis Cis C D E Fis e</w:t>
      </w:r>
      <w:r>
        <w:rPr>
          <w:vertAlign w:val="superscript"/>
          <w:lang w:val="nl-NL"/>
        </w:rPr>
        <w:t>3</w:t>
      </w:r>
      <w:r>
        <w:rPr>
          <w:lang w:val="nl-NL"/>
        </w:rPr>
        <w:t>-Gis.</w:t>
      </w:r>
    </w:p>
    <w:p>
      <w:pPr>
        <w:pStyle w:val="T1"/>
        <w:jc w:val="start"/>
        <w:rPr/>
      </w:pPr>
      <w:r>
        <w:rPr>
          <w:lang w:val="nl-NL"/>
        </w:rPr>
        <w:t>Eiken pijpwerk wordt aangetroffen in de Boardon B 16' (1853, geheel) en de Holpijp 8' HW (1830). C-H van de Holpijp 8' RP zijn van grenen (1830). De Tertsiaan is een enkelvoudige, niet repeterende 1 3/5'. De Fluit 4' RP is van C-h</w:t>
      </w:r>
      <w:r>
        <w:rPr>
          <w:vertAlign w:val="superscript"/>
          <w:lang w:val="nl-NL"/>
        </w:rPr>
        <w:t>1</w:t>
      </w:r>
      <w:r>
        <w:rPr>
          <w:lang w:val="nl-NL"/>
        </w:rPr>
        <w:t xml:space="preserve"> gedekt en daarna open, cilindrisch. De Woudfluit 2' is van C-h gedekt en verder open, cilindrisch. De Trompet heeft grenen stevels en eiken koppen. De Dulciaan heeft metalen stevels, bij C-A ronde houten koppen, vanaf B loden koppen, snavelkelen voor het gehele register en tinnen clindrische bekers.</w:t>
      </w:r>
    </w:p>
    <w:p>
      <w:pPr>
        <w:pStyle w:val="T1"/>
        <w:jc w:val="start"/>
        <w:rPr>
          <w:lang w:val="nl-NL"/>
        </w:rPr>
      </w:pPr>
      <w:r>
        <w:rPr>
          <w:lang w:val="nl-NL"/>
        </w:rPr>
        <w:t>Het 17e eeuws pijpwerk heeft een hoog loodgehalte. Bij enkele gedekte reeksen komt het typerende, Westfaalse ‘dakjeslabium’ voor.</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5">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6">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7">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rFonts w:ascii="Times New Roman" w:hAnsi="Times New Roman" w:cs="Times New Roman"/>
      <w:sz w:val="24"/>
      <w:szCs w:val="24"/>
      <w:vertAlign w:val="superscript"/>
      <w:lang w:val="en-US"/>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FootnoteCharacters">
    <w:name w:val="Footnote Characters"/>
    <w:basedOn w:val="Standaardalinealettertype"/>
    <w:qFormat/>
    <w:rPr>
      <w:rFonts w:ascii="Times New Roman" w:hAnsi="Times New Roman" w:cs="Times New Roman"/>
      <w:sz w:val="24"/>
      <w:szCs w:val="24"/>
      <w:vertAlign w:val="superscript"/>
      <w:lang w:val="en-US"/>
    </w:rPr>
  </w:style>
  <w:style w:type="character" w:styleId="EquationCaption">
    <w:name w:val="_Equation Caption"/>
    <w:basedOn w:val="Standaardalinealettertype"/>
    <w:qFormat/>
    <w:rPr/>
  </w:style>
  <w:style w:type="character" w:styleId="Eindnoot">
    <w:name w:val="Eindnoot"/>
    <w:basedOn w:val="Standaardalinealettertype"/>
    <w:qFormat/>
    <w:rPr/>
  </w:style>
  <w:style w:type="character" w:styleId="EquationCaption1">
    <w:name w:val="_Equation Caption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Footnote">
    <w:name w:val="Foot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2010-03-16T12:42:00Z</dcterms:created>
  <dc:creator>WS1</dc:creator>
  <dc:description/>
  <dc:language>en-US</dc:language>
  <cp:lastModifiedBy>Hans Steketee</cp:lastModifiedBy>
  <dcterms:modified xsi:type="dcterms:W3CDTF">2010-03-16T12:42:00Z</dcterms:modified>
  <cp:revision>2</cp:revision>
  <dc:subject/>
  <dc:title>Stiens / 1777</dc:title>
</cp:coreProperties>
</file>