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Zundert / ca 1775</w:t>
      </w:r>
    </w:p>
    <w:p>
      <w:pPr>
        <w:pStyle w:val="Heading2"/>
        <w:rPr>
          <w:i w:val="false"/>
          <w:i w:val="false"/>
          <w:iCs/>
        </w:rPr>
      </w:pPr>
      <w:r>
        <w:rPr>
          <w:i w:val="false"/>
          <w:iCs/>
        </w:rPr>
        <w:t>R.K. St-Trudokerk</w:t>
      </w:r>
    </w:p>
    <w:p>
      <w:pPr>
        <w:pStyle w:val="T1"/>
        <w:jc w:val="start"/>
        <w:rPr>
          <w:i/>
          <w:i/>
          <w:iCs/>
          <w:lang w:val="nl-NL"/>
        </w:rPr>
      </w:pPr>
      <w:r>
        <w:rPr>
          <w:i/>
          <w:iCs/>
          <w:lang w:val="nl-NL"/>
        </w:rPr>
      </w:r>
    </w:p>
    <w:p>
      <w:pPr>
        <w:pStyle w:val="T1"/>
        <w:jc w:val="start"/>
        <w:rPr>
          <w:i/>
          <w:i/>
          <w:iCs/>
          <w:lang w:val="nl-NL"/>
        </w:rPr>
      </w:pPr>
      <w:r>
        <w:rPr>
          <w:i/>
          <w:iCs/>
          <w:lang w:val="nl-NL"/>
        </w:rPr>
        <w:t>Driebeukige neogotische kruisbasiliek, gebouwd in 1925-’27 naar een ontwerp van J. Stuyt. De kerk heeft een halfrond gesloten koor met kooromgang, een vieringskoepel met lantaarn en een opengewerkte toren. Inwendig scheibogen met troggewelven. Inventaris uit de vorige kerk, onder andere twee biechtstoelen en een rijk bewerkte preekstoel uit ca 1840 uit het atelier van Peeters-Dievoort, een hoofdaltaar uit 1622 van Hans van Mildert en twee eikenhouten biechtstoelen voorzien van gebeeldhouwde engelen uit ca 1675.</w:t>
      </w:r>
    </w:p>
    <w:p>
      <w:pPr>
        <w:pStyle w:val="T1"/>
        <w:jc w:val="start"/>
        <w:rPr>
          <w:i/>
          <w:i/>
          <w:iCs/>
          <w:lang w:val="nl-NL"/>
        </w:rPr>
      </w:pPr>
      <w:r>
        <w:rPr>
          <w:i/>
          <w:iCs/>
          <w:lang w:val="nl-NL"/>
        </w:rPr>
      </w:r>
    </w:p>
    <w:p>
      <w:pPr>
        <w:pStyle w:val="T1"/>
        <w:jc w:val="start"/>
        <w:rPr>
          <w:lang w:val="nl-NL"/>
        </w:rPr>
      </w:pPr>
      <w:r>
        <w:rPr>
          <w:lang w:val="nl-NL"/>
        </w:rPr>
        <w:t>Kas: ca 1775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vijfledig front, bestaande uit drie ronde torens en ongedeelde tussenvelden, die iets hoger geplaatst zijn dan de torens, die direct op de krans staan. De smalle maatvoering van de torens, met vijf pijpen per toren, vormt een contrast met de brede, vlak uitgevoerde tussenvelden. Met deze kenmerken schaart het front zich in de zuidelijke traditie.</w:t>
      </w:r>
    </w:p>
    <w:p>
      <w:pPr>
        <w:pStyle w:val="T2Kunst"/>
        <w:jc w:val="start"/>
        <w:rPr>
          <w:lang w:val="nl-NL"/>
        </w:rPr>
      </w:pPr>
      <w:r>
        <w:rPr>
          <w:lang w:val="nl-NL"/>
        </w:rPr>
        <w:t>De krans bezit twee bolle profiellijsten met een breed fries ertussen. De torenkappen bezitten een sterke overkraging. De tussenvelden worden door een rechte profiellijst afgesloten. Onder de torens zijn gesneden consoles aangebracht, in hoofdzaak bestaande uit bladmotieven.</w:t>
      </w:r>
    </w:p>
    <w:p>
      <w:pPr>
        <w:pStyle w:val="T2Kunst"/>
        <w:jc w:val="start"/>
        <w:rPr>
          <w:lang w:val="nl-NL"/>
        </w:rPr>
      </w:pPr>
      <w:r>
        <w:rPr>
          <w:lang w:val="nl-NL"/>
        </w:rPr>
        <w:t>In de blinderingen boven in de torens zijn per toren twee S-voluten toegepast, aangevuld met vegetatief ornament. De blinderingen boven in de velden bestaan uit twee liggende C-voluten, die met vrij dicht plantaardig ornament als het ware verbreed zijn. Aan de buitenzijde van de grootste C-voluut steekt één klein bladornamentje wat eigenwijs uit. In de linker- en rechter bovenhoek bestaat de invulling daarentegen uit fragiel werk, met veel open ruimte.</w:t>
      </w:r>
    </w:p>
    <w:p>
      <w:pPr>
        <w:pStyle w:val="T2Kunst"/>
        <w:jc w:val="start"/>
        <w:rPr>
          <w:lang w:val="nl-NL"/>
        </w:rPr>
      </w:pPr>
      <w:r>
        <w:rPr>
          <w:lang w:val="nl-NL"/>
        </w:rPr>
        <w:t>Opvallend is tenslotte de sierlijke labiumlijn van de tussenvelden.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iCs/>
          <w:lang w:val="nl-NL"/>
        </w:rPr>
        <w:t>Repertorium van orgels en orgelmakers in Noord-Brabant tot omstreeks 1900</w:t>
      </w:r>
      <w:r>
        <w:rPr>
          <w:lang w:val="nl-NL"/>
        </w:rPr>
        <w:t>. ’s-Hertogenbosch, 1983, 343-345.</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Archief Flentrop Orgelbouw.</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Binvignat</w:t>
      </w:r>
    </w:p>
    <w:p>
      <w:pPr>
        <w:pStyle w:val="T1"/>
        <w:jc w:val="start"/>
        <w:rPr>
          <w:lang w:val="nl-NL"/>
        </w:rPr>
      </w:pPr>
      <w:r>
        <w:rPr>
          <w:lang w:val="nl-NL"/>
        </w:rPr>
        <w:t>2. Gebr. Vermeulen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1775</w:t>
      </w:r>
    </w:p>
    <w:p>
      <w:pPr>
        <w:pStyle w:val="T1"/>
        <w:jc w:val="start"/>
        <w:rPr>
          <w:lang w:val="nl-NL"/>
        </w:rPr>
      </w:pPr>
      <w:r>
        <w:rPr>
          <w:lang w:val="nl-NL"/>
        </w:rPr>
        <w:t>2. 1961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vermoedelijk Maastricht, klooster van de Grauwzusters</w:t>
      </w:r>
    </w:p>
    <w:p>
      <w:pPr>
        <w:pStyle w:val="T1"/>
        <w:jc w:val="start"/>
        <w:rPr>
          <w:lang w:val="nl-NL"/>
        </w:rPr>
      </w:pPr>
      <w:r>
        <w:rPr>
          <w:lang w:val="nl-NL"/>
        </w:rPr>
      </w:r>
    </w:p>
    <w:p>
      <w:pPr>
        <w:pStyle w:val="T1"/>
        <w:jc w:val="start"/>
        <w:rPr>
          <w:lang w:val="nl-NL"/>
        </w:rPr>
      </w:pPr>
      <w:r>
        <w:rPr>
          <w:lang w:val="nl-NL"/>
        </w:rPr>
        <w:t>1797</w:t>
      </w:r>
    </w:p>
    <w:p>
      <w:pPr>
        <w:pStyle w:val="T1"/>
        <w:numPr>
          <w:ilvl w:val="0"/>
          <w:numId w:val="5"/>
        </w:numPr>
        <w:jc w:val="start"/>
        <w:rPr>
          <w:lang w:val="nl-NL"/>
        </w:rPr>
      </w:pPr>
      <w:r>
        <w:rPr>
          <w:lang w:val="nl-NL"/>
        </w:rPr>
        <w:t>klooster opgeheven</w:t>
      </w:r>
    </w:p>
    <w:p>
      <w:pPr>
        <w:pStyle w:val="T1"/>
        <w:numPr>
          <w:ilvl w:val="0"/>
          <w:numId w:val="5"/>
        </w:numPr>
        <w:jc w:val="start"/>
        <w:rPr>
          <w:lang w:val="nl-NL"/>
        </w:rPr>
      </w:pPr>
      <w:r>
        <w:rPr>
          <w:lang w:val="nl-NL"/>
        </w:rPr>
        <w:t>orgel later verkocht</w:t>
      </w:r>
    </w:p>
    <w:p>
      <w:pPr>
        <w:pStyle w:val="T1"/>
        <w:jc w:val="start"/>
        <w:rPr>
          <w:lang w:val="nl-NL"/>
        </w:rPr>
      </w:pPr>
      <w:r>
        <w:rPr>
          <w:lang w:val="nl-NL"/>
        </w:rPr>
      </w:r>
    </w:p>
    <w:p>
      <w:pPr>
        <w:pStyle w:val="T1"/>
        <w:jc w:val="start"/>
        <w:rPr>
          <w:lang w:val="nl-NL"/>
        </w:rPr>
      </w:pPr>
      <w:r>
        <w:rPr>
          <w:lang w:val="nl-NL"/>
        </w:rPr>
        <w:t>vóór 1820</w:t>
      </w:r>
    </w:p>
    <w:p>
      <w:pPr>
        <w:pStyle w:val="T1"/>
        <w:numPr>
          <w:ilvl w:val="0"/>
          <w:numId w:val="4"/>
        </w:numPr>
        <w:jc w:val="start"/>
        <w:rPr>
          <w:lang w:val="nl-NL"/>
        </w:rPr>
      </w:pPr>
      <w:r>
        <w:rPr>
          <w:lang w:val="nl-NL"/>
        </w:rPr>
        <w:t>orgel geplaatst te Cadier en Keer, R.K. Kerk van de H. Kruisverheffing</w:t>
      </w:r>
    </w:p>
    <w:p>
      <w:pPr>
        <w:pStyle w:val="T1"/>
        <w:numPr>
          <w:ilvl w:val="0"/>
          <w:numId w:val="4"/>
        </w:numPr>
        <w:jc w:val="start"/>
        <w:rPr>
          <w:lang w:val="nl-NL"/>
        </w:rPr>
      </w:pPr>
      <w:r>
        <w:rPr>
          <w:lang w:val="nl-NL"/>
        </w:rPr>
        <w:t>orgelkas gewijzigd</w:t>
      </w:r>
    </w:p>
    <w:p>
      <w:pPr>
        <w:pStyle w:val="T1"/>
        <w:jc w:val="start"/>
        <w:rPr>
          <w:lang w:val="nl-NL"/>
        </w:rPr>
      </w:pPr>
      <w:r>
        <w:rPr>
          <w:lang w:val="nl-NL"/>
        </w:rPr>
      </w:r>
    </w:p>
    <w:p>
      <w:pPr>
        <w:pStyle w:val="T1"/>
        <w:jc w:val="start"/>
        <w:rPr>
          <w:lang w:val="nl-NL"/>
        </w:rPr>
      </w:pPr>
      <w:r>
        <w:rPr>
          <w:lang w:val="nl-NL"/>
        </w:rPr>
        <w:t>Gebr. Vermeulen 1961</w:t>
      </w:r>
    </w:p>
    <w:p>
      <w:pPr>
        <w:pStyle w:val="T1"/>
        <w:numPr>
          <w:ilvl w:val="0"/>
          <w:numId w:val="3"/>
        </w:numPr>
        <w:jc w:val="start"/>
        <w:rPr>
          <w:lang w:val="nl-NL"/>
        </w:rPr>
      </w:pPr>
      <w:r>
        <w:rPr>
          <w:lang w:val="nl-NL"/>
        </w:rPr>
        <w:t>orgel ingrijpend gewijzigd</w:t>
      </w:r>
    </w:p>
    <w:p>
      <w:pPr>
        <w:pStyle w:val="T1"/>
        <w:numPr>
          <w:ilvl w:val="0"/>
          <w:numId w:val="3"/>
        </w:numPr>
        <w:jc w:val="start"/>
        <w:rPr>
          <w:lang w:val="nl-NL"/>
        </w:rPr>
      </w:pPr>
      <w:r>
        <w:rPr>
          <w:lang w:val="nl-NL"/>
        </w:rPr>
        <w:t>kas en deel oude pijpwerk ingenomen</w:t>
      </w:r>
    </w:p>
    <w:p>
      <w:pPr>
        <w:pStyle w:val="T1"/>
        <w:jc w:val="start"/>
        <w:rPr>
          <w:lang w:val="nl-NL"/>
        </w:rPr>
      </w:pPr>
      <w:r>
        <w:rPr>
          <w:lang w:val="nl-NL"/>
        </w:rPr>
      </w:r>
    </w:p>
    <w:p>
      <w:pPr>
        <w:pStyle w:val="T1"/>
        <w:jc w:val="start"/>
        <w:rPr>
          <w:lang w:val="nl-NL"/>
        </w:rPr>
      </w:pPr>
      <w:r>
        <w:rPr>
          <w:lang w:val="nl-NL"/>
        </w:rPr>
        <w:t>Gebr. Vermeulen 1963</w:t>
      </w:r>
    </w:p>
    <w:p>
      <w:pPr>
        <w:pStyle w:val="T1"/>
        <w:numPr>
          <w:ilvl w:val="0"/>
          <w:numId w:val="2"/>
        </w:numPr>
        <w:jc w:val="start"/>
        <w:rPr>
          <w:lang w:val="nl-NL"/>
        </w:rPr>
      </w:pPr>
      <w:r>
        <w:rPr>
          <w:lang w:val="nl-NL"/>
        </w:rPr>
        <w:t>oude kas en van elders afkomstig oud binnenwerk gebruikt bij bouw nieuw orgel te Zundert, R.K. St-Trudokerk</w:t>
      </w:r>
    </w:p>
    <w:p>
      <w:pPr>
        <w:pStyle w:val="T1"/>
        <w:jc w:val="start"/>
        <w:rPr>
          <w:lang w:val="nl-NL"/>
        </w:rPr>
      </w:pPr>
      <w:r>
        <w:rPr>
          <w:lang w:val="nl-NL"/>
        </w:rPr>
      </w:r>
    </w:p>
    <w:p>
      <w:pPr>
        <w:pStyle w:val="T1"/>
        <w:jc w:val="start"/>
        <w:rPr>
          <w:lang w:val="nl-NL"/>
        </w:rPr>
      </w:pPr>
      <w:r>
        <w:rPr>
          <w:lang w:val="nl-NL"/>
        </w:rPr>
        <w:t>Gebr. Vermeulen 1974</w:t>
      </w:r>
    </w:p>
    <w:p>
      <w:pPr>
        <w:pStyle w:val="T1"/>
        <w:numPr>
          <w:ilvl w:val="0"/>
          <w:numId w:val="2"/>
        </w:numPr>
        <w:jc w:val="start"/>
        <w:rPr>
          <w:lang w:val="nl-NL"/>
        </w:rPr>
      </w:pPr>
      <w:r>
        <w:rPr>
          <w:lang w:val="nl-NL"/>
        </w:rPr>
        <w:t>orgel verplaatst van orgelgalerij naar linker transept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026" w:type="dxa"/>
        <w:jc w:val="start"/>
        <w:tblInd w:w="-70" w:type="dxa"/>
        <w:tblLayout w:type="fixed"/>
        <w:tblCellMar>
          <w:top w:w="0" w:type="dxa"/>
          <w:start w:w="70" w:type="dxa"/>
          <w:bottom w:w="0" w:type="dxa"/>
          <w:end w:w="70" w:type="dxa"/>
        </w:tblCellMar>
      </w:tblPr>
      <w:tblGrid>
        <w:gridCol w:w="1346"/>
        <w:gridCol w:w="709"/>
        <w:gridCol w:w="1559"/>
        <w:gridCol w:w="634"/>
        <w:gridCol w:w="1292"/>
        <w:gridCol w:w="486"/>
      </w:tblGrid>
      <w:tr>
        <w:trPr/>
        <w:tc>
          <w:tcPr>
            <w:tcW w:w="1346"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Mixtuur</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tc>
        <w:tc>
          <w:tcPr>
            <w:tcW w:w="1559" w:type="dxa"/>
            <w:tcBorders/>
          </w:tcPr>
          <w:p>
            <w:pPr>
              <w:pStyle w:val="T4dispositie"/>
              <w:jc w:val="start"/>
              <w:rPr>
                <w:i/>
                <w:i/>
                <w:iCs/>
                <w:lang w:val="nl-NL"/>
              </w:rPr>
            </w:pPr>
            <w:r>
              <w:rPr>
                <w:i/>
                <w:iCs/>
                <w:lang w:val="nl-NL"/>
              </w:rPr>
              <w:t>Nevenwerk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Quint</w:t>
            </w:r>
          </w:p>
          <w:p>
            <w:pPr>
              <w:pStyle w:val="T4dispositie"/>
              <w:jc w:val="start"/>
              <w:rPr>
                <w:lang w:val="nl-NL"/>
              </w:rPr>
            </w:pPr>
            <w:r>
              <w:rPr>
                <w:lang w:val="nl-NL"/>
              </w:rPr>
              <w:t>Schalmei</w:t>
            </w:r>
          </w:p>
        </w:tc>
        <w:tc>
          <w:tcPr>
            <w:tcW w:w="634"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8'</w:t>
            </w:r>
          </w:p>
        </w:tc>
        <w:tc>
          <w:tcPr>
            <w:tcW w:w="1292"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4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pedaalkoppel (als treden)</w:t>
      </w:r>
    </w:p>
    <w:p>
      <w:pPr>
        <w:pStyle w:val="T1"/>
        <w:jc w:val="start"/>
        <w:rPr>
          <w:lang w:val="nl-NL"/>
        </w:rPr>
      </w:pPr>
      <w:r>
        <w:rPr>
          <w:lang w:val="nl-NL"/>
        </w:rPr>
      </w:r>
    </w:p>
    <w:p>
      <w:pPr>
        <w:pStyle w:val="T1"/>
        <w:jc w:val="start"/>
        <w:rPr>
          <w:lang w:val="nl-NL"/>
        </w:rPr>
      </w:pPr>
      <w:r>
        <w:rPr>
          <w:lang w:val="nl-NL"/>
        </w:rPr>
        <w:t>Samenstelling vulstem</w:t>
      </w:r>
    </w:p>
    <w:tbl>
      <w:tblPr>
        <w:tblW w:w="3842" w:type="dxa"/>
        <w:jc w:val="start"/>
        <w:tblInd w:w="-70" w:type="dxa"/>
        <w:tblLayout w:type="fixed"/>
        <w:tblCellMar>
          <w:top w:w="0" w:type="dxa"/>
          <w:start w:w="70" w:type="dxa"/>
          <w:bottom w:w="0" w:type="dxa"/>
          <w:end w:w="70" w:type="dxa"/>
        </w:tblCellMar>
      </w:tblPr>
      <w:tblGrid>
        <w:gridCol w:w="1000"/>
        <w:gridCol w:w="707"/>
        <w:gridCol w:w="707"/>
        <w:gridCol w:w="707"/>
        <w:gridCol w:w="721"/>
      </w:tblGrid>
      <w:tr>
        <w:trPr/>
        <w:tc>
          <w:tcPr>
            <w:tcW w:w="1000" w:type="dxa"/>
            <w:tcBorders/>
          </w:tcPr>
          <w:p>
            <w:pPr>
              <w:pStyle w:val="T1"/>
              <w:jc w:val="start"/>
              <w:rPr>
                <w:lang w:val="nl-NL"/>
              </w:rPr>
            </w:pPr>
            <w:r>
              <w:rPr>
                <w:lang w:val="nl-NL"/>
              </w:rPr>
              <w:t>Mixtuur</w:t>
            </w:r>
          </w:p>
        </w:tc>
        <w:tc>
          <w:tcPr>
            <w:tcW w:w="707"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c>
          <w:tcPr>
            <w:tcW w:w="707"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07"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1"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niet gemeten</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1824 verkocht de kerk van Zundert haar uit 1775 daterende Van Peteghem-orgel aan de Hervormde Gemeente van Made (zie deel 1769-1790, 98-99). In Zundert plaatste Bernard van Hirtum toen het oude orgel van de Abdij van Postel, met hoofdwerk en rugpositief, in een nieuwe kas (de oude kas staat nog steeds in Postel). In 1902 werd het door Vermeulen aangepast. In 1927 kwam een nieuwe kerk tot stand, waarin van het oude orgel slechts een ontmanteld hoofdwerk werd herplaatst (om het roosvenster vrij te houden). In 1961 verwierf de kerk van Zundert een ander orgel van de Gebr. Vermeulen, dat bestond uit de bovenkas van het orgel van Cadier en Keer (volgens mondelinge mededeling), een oude lade en deels ouder, deels nieuw pijpwerk. De Subbas is het enige register dat uit het vorige orgel van Zundert is overgenomen. Het oude pijpwerk van Cadier en Keer is in 1963 door de Gebr. Vermeulen gedeeltelijk gebruikt voor hun nieuwe orgel voor diezelfde kerk. In 1994 vervaardigde Verschueren voor Cadier en Keer een nieuw orgel, waarin een drietal originele registers uit het oorspronkelijke orgel is opgenomen.</w:t>
      </w:r>
    </w:p>
    <w:p>
      <w:pPr>
        <w:pStyle w:val="T1"/>
        <w:jc w:val="start"/>
        <w:rPr/>
      </w:pPr>
      <w:r>
        <w:rPr>
          <w:lang w:val="nl-NL"/>
        </w:rPr>
        <w:t>Boven- en onderkas te Zundert horen niet bijeen. De lade, verdeeld in C- en Ciskant en met een torenindeling, loopt tot c</w:t>
      </w:r>
      <w:r>
        <w:rPr>
          <w:vertAlign w:val="superscript"/>
          <w:lang w:val="nl-NL"/>
        </w:rPr>
        <w:t>3</w:t>
      </w:r>
      <w:r>
        <w:rPr>
          <w:lang w:val="nl-NL"/>
        </w:rPr>
        <w:t xml:space="preserve"> (18e-eeuws) en heeft een aanvullingslade aan de rechterkant. Een deel van het pijpwerk stamt uit de 19e eeuw. Klaviatuur en mechanieken stammen uit 1961. Vanaf het front staan op de lade eerst de registers van het HW. De frontpijpen van de Prestant 4</w:t>
      </w:r>
      <w:r>
        <w:rPr/>
        <w:t>'</w:t>
      </w:r>
      <w:r>
        <w:rPr>
          <w:lang w:val="nl-NL"/>
        </w:rPr>
        <w:t xml:space="preserve"> zijn in 1961 nieuw gemaakt, de resterende binnenpijpen zijn oud. De Fluit 2</w:t>
      </w:r>
      <w:r>
        <w:rPr/>
        <w:t>'</w:t>
      </w:r>
      <w:r>
        <w:rPr>
          <w:lang w:val="nl-NL"/>
        </w:rPr>
        <w:t xml:space="preserve"> is in de bas een oude openfluit, vanaf b</w:t>
      </w:r>
      <w:r>
        <w:rPr>
          <w:vertAlign w:val="superscript"/>
          <w:lang w:val="nl-NL"/>
        </w:rPr>
        <w:t>1</w:t>
      </w:r>
      <w:r>
        <w:rPr>
          <w:lang w:val="nl-NL"/>
        </w:rPr>
        <w:t xml:space="preserve"> aangevuld met nieuw pijpwerk. De Roerfluit heeft een houten groot octaaf en is oud. Mixtuur en Roerfluit 4</w:t>
      </w:r>
      <w:r>
        <w:rPr/>
        <w:t>'</w:t>
      </w:r>
      <w:r>
        <w:rPr>
          <w:lang w:val="nl-NL"/>
        </w:rPr>
        <w:t xml:space="preserve"> zijn nieuw. De Salicionaal vanaf c en het groot octaaf dat is gecombineerd met de Holpijp zijn beide oud. De rest van de Holpijp is nieuw. De Prestant 2</w:t>
      </w:r>
      <w:r>
        <w:rPr/>
        <w:t>'</w:t>
      </w:r>
      <w:r>
        <w:rPr>
          <w:lang w:val="nl-NL"/>
        </w:rPr>
        <w:t xml:space="preserve"> is tot a</w:t>
      </w:r>
      <w:r>
        <w:rPr>
          <w:vertAlign w:val="superscript"/>
          <w:lang w:val="nl-NL"/>
        </w:rPr>
        <w:t>1</w:t>
      </w:r>
      <w:r>
        <w:rPr>
          <w:lang w:val="nl-NL"/>
        </w:rPr>
        <w:t xml:space="preserve"> oud fabriekspijpwerk, verder nieuw. De Quint en de Schalmei zijn nieuw. De Subbas, uit het vorige Zundertse orgel, is van C-B van grenen en verder van eiken. Mogelijk stamt dit register gedeeltelijk van Nicolaas van Hirtum, die in 1791 het orgel van de Abdij van Postel uitbreidde met een </w:t>
      </w:r>
      <w:r>
        <w:rPr>
          <w:i/>
          <w:iCs/>
          <w:lang w:val="nl-NL"/>
        </w:rPr>
        <w:t>Bordon 16 voet</w:t>
      </w:r>
      <w:r>
        <w:rPr>
          <w:lang w:val="nl-NL"/>
        </w:rPr>
        <w:t>.</w:t>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2010-03-16T16:05:00Z</dcterms:created>
  <dc:creator>Roger</dc:creator>
  <dc:description/>
  <dc:language>en-US</dc:language>
  <cp:lastModifiedBy>Hans Steketee</cp:lastModifiedBy>
  <dcterms:modified xsi:type="dcterms:W3CDTF">2010-03-16T16:05:00Z</dcterms:modified>
  <cp:revision>2</cp:revision>
  <dc:subject/>
  <dc:title>Hazerswoude / 1868</dc:title>
</cp:coreProperties>
</file>