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Goirle-Nieuwkerk / 1845</w:t>
      </w:r>
    </w:p>
    <w:p>
      <w:pPr>
        <w:pStyle w:val="Heading2"/>
        <w:rPr>
          <w:i w:val="false"/>
          <w:i w:val="false"/>
          <w:iCs/>
        </w:rPr>
      </w:pPr>
      <w:r>
        <w:rPr>
          <w:i w:val="false"/>
          <w:iCs/>
        </w:rPr>
        <w:t>Kapel Klooster Nieuwkerk</w:t>
      </w:r>
    </w:p>
    <w:p>
      <w:pPr>
        <w:pStyle w:val="T1"/>
        <w:jc w:val="start"/>
        <w:rPr>
          <w:i/>
          <w:i/>
          <w:iCs/>
          <w:lang w:val="nl-NL"/>
        </w:rPr>
      </w:pPr>
      <w:r>
        <w:rPr>
          <w:i/>
          <w:iCs/>
          <w:lang w:val="nl-NL"/>
        </w:rPr>
      </w:r>
    </w:p>
    <w:p>
      <w:pPr>
        <w:pStyle w:val="T1"/>
        <w:jc w:val="start"/>
        <w:rPr>
          <w:i/>
          <w:i/>
          <w:iCs/>
        </w:rPr>
      </w:pPr>
      <w:r>
        <w:rPr>
          <w:i/>
          <w:iCs/>
        </w:rPr>
        <w:t>Eenbeukige neogotische kapel van het voormalige klooster van Nieuwkerk, is ingewijd in 1913. Sinds 2006 is het klooster een bezinningscentrum.</w:t>
      </w:r>
    </w:p>
    <w:p>
      <w:pPr>
        <w:pStyle w:val="T1"/>
        <w:jc w:val="start"/>
        <w:rPr>
          <w:i/>
          <w:i/>
          <w:iCs/>
          <w:lang w:val="nl-NL"/>
        </w:rPr>
      </w:pPr>
      <w:r>
        <w:rPr>
          <w:i/>
          <w:iCs/>
          <w:lang w:val="nl-NL"/>
        </w:rPr>
      </w:r>
    </w:p>
    <w:p>
      <w:pPr>
        <w:pStyle w:val="T1"/>
        <w:jc w:val="start"/>
        <w:rPr>
          <w:lang w:val="nl-NL"/>
        </w:rPr>
      </w:pPr>
      <w:r>
        <w:rPr>
          <w:lang w:val="nl-NL"/>
        </w:rPr>
        <w:t>Kas: 1845</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orgel met een eenvoudig fronttype van uitgesproken Zuid-Nederlands model. Het orgel in Nieuwkerk heeft een middentoren die hoger is dan de zijtorens, wat bij de thans van Rogier bekende orgels verder alleen nog te vinden is in de Hervormde Kerk te Fijnaart (1877). De meeste bewaard gebleven orgels van Rogier bezitten een verlaagde middentoren.</w:t>
      </w:r>
    </w:p>
    <w:p>
      <w:pPr>
        <w:pStyle w:val="T2Kunst"/>
        <w:jc w:val="start"/>
        <w:rPr>
          <w:lang w:val="nl-NL"/>
        </w:rPr>
      </w:pPr>
      <w:r>
        <w:rPr>
          <w:lang w:val="nl-NL"/>
        </w:rPr>
        <w:t xml:space="preserve">De drie ronde torens bevatten elk vijf pijpen, wat ook een Zuid-Nederlands kenmerk is. De achterwaarts gerichte holle tussenvelden zijn ongedeeld. </w:t>
      </w:r>
    </w:p>
    <w:p>
      <w:pPr>
        <w:pStyle w:val="T2Kunst"/>
        <w:jc w:val="start"/>
        <w:rPr>
          <w:lang w:val="nl-NL"/>
        </w:rPr>
      </w:pPr>
      <w:r>
        <w:rPr>
          <w:lang w:val="nl-NL"/>
        </w:rPr>
        <w:t>De decoratie is betrekkelijk sober. De blinderingen lijken op lambrequins, zoals Rogier ze vaker toepaste, maar hebben een afwijkende vorm. Hun insnijdingen hebben gedeeltelijk het model van een driepas, wat het geheel iets neogotisch geeft. In de torenkappen zijn tandlijsten aangebracht. Het rijkst zijn de consoles onder de torens. De middelste bevat een forse cartouche, de beide andere zijn voorzien van een schelpmotief dat in omgekeerde vorm en iets verkleind in de middencartouche terugkeert. Deze vormen zijn ontleend aan de Lodewijk XIV stijl, die met zijn barokke karakter vanaf omstreeks 1840 veel beeldsnijders tot uitgangspunt diende.</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w:t>
      </w:r>
      <w:r>
        <w:rPr>
          <w:lang w:val="nl-NL"/>
        </w:rPr>
        <w:t>. ‘s-Hertogenbosch, 1975, 67.</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210.</w:t>
      </w:r>
    </w:p>
    <w:p>
      <w:pPr>
        <w:pStyle w:val="T3Lit"/>
        <w:jc w:val="start"/>
        <w:rPr/>
      </w:pPr>
      <w:r>
        <w:rPr>
          <w:lang w:val="nl-NL"/>
        </w:rPr>
        <w:t xml:space="preserve">Frans Jespers, ‘C.J. Rogier, maker van orgels en kerkelijke meubelementen’. </w:t>
      </w:r>
      <w:r>
        <w:rPr>
          <w:i/>
          <w:lang w:val="nl-NL"/>
        </w:rPr>
        <w:t>De Mixtuur</w:t>
      </w:r>
      <w:r>
        <w:rPr>
          <w:lang w:val="nl-NL"/>
        </w:rPr>
        <w:t>, 30 (1980), 754-771.</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C.J. Rogier</w:t>
      </w:r>
    </w:p>
    <w:p>
      <w:pPr>
        <w:pStyle w:val="T1"/>
        <w:jc w:val="start"/>
        <w:rPr>
          <w:lang w:val="nl-NL"/>
        </w:rPr>
      </w:pPr>
      <w:r>
        <w:rPr>
          <w:lang w:val="nl-NL"/>
        </w:rPr>
        <w:t>2. onbekend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1. 1845</w:t>
      </w:r>
    </w:p>
    <w:p>
      <w:pPr>
        <w:pStyle w:val="T1"/>
        <w:jc w:val="start"/>
        <w:rPr>
          <w:lang w:val="nl-NL"/>
        </w:rPr>
      </w:pPr>
      <w:r>
        <w:rPr>
          <w:lang w:val="nl-NL"/>
        </w:rPr>
        <w:t>2. ca 1935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Lepelstraat, R.K. Kerk H. Antonius van Padua</w:t>
      </w:r>
    </w:p>
    <w:p>
      <w:pPr>
        <w:pStyle w:val="T1"/>
        <w:jc w:val="start"/>
        <w:rPr>
          <w:lang w:val="nl-NL"/>
        </w:rPr>
      </w:pPr>
      <w:r>
        <w:rPr>
          <w:lang w:val="nl-NL"/>
        </w:rPr>
      </w:r>
    </w:p>
    <w:p>
      <w:pPr>
        <w:pStyle w:val="T1"/>
        <w:jc w:val="start"/>
        <w:rPr/>
      </w:pPr>
      <w:r>
        <w:rPr/>
        <w:t>Dispositie volgens Broekhuyzen ca 1850-1862, L 76</w:t>
      </w:r>
    </w:p>
    <w:tbl>
      <w:tblPr>
        <w:tblW w:w="2232" w:type="dxa"/>
        <w:jc w:val="start"/>
        <w:tblInd w:w="-70" w:type="dxa"/>
        <w:tblLayout w:type="fixed"/>
        <w:tblCellMar>
          <w:top w:w="0" w:type="dxa"/>
          <w:start w:w="70" w:type="dxa"/>
          <w:bottom w:w="0" w:type="dxa"/>
          <w:end w:w="70" w:type="dxa"/>
        </w:tblCellMar>
      </w:tblPr>
      <w:tblGrid>
        <w:gridCol w:w="1601"/>
        <w:gridCol w:w="631"/>
      </w:tblGrid>
      <w:tr>
        <w:trPr/>
        <w:tc>
          <w:tcPr>
            <w:tcW w:w="1601" w:type="dxa"/>
            <w:tcBorders/>
          </w:tcPr>
          <w:p>
            <w:pPr>
              <w:pStyle w:val="T4dispositie"/>
              <w:rPr>
                <w:i/>
                <w:i/>
                <w:iCs/>
              </w:rPr>
            </w:pPr>
            <w:r>
              <w:rPr>
                <w:i/>
                <w:iCs/>
              </w:rPr>
              <w:t>Manuaal</w:t>
            </w:r>
          </w:p>
          <w:p>
            <w:pPr>
              <w:pStyle w:val="T4dispositie"/>
              <w:rPr/>
            </w:pPr>
            <w:r>
              <w:rPr/>
              <w:t>Holpijp</w:t>
            </w:r>
          </w:p>
          <w:p>
            <w:pPr>
              <w:pStyle w:val="T4dispositie"/>
              <w:rPr/>
            </w:pPr>
            <w:r>
              <w:rPr/>
              <w:t>Fluit travers D</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Quint</w:t>
            </w:r>
          </w:p>
          <w:p>
            <w:pPr>
              <w:pStyle w:val="T4dispositie"/>
              <w:rPr>
                <w:lang w:val="fr-FR"/>
              </w:rPr>
            </w:pPr>
            <w:r>
              <w:rPr>
                <w:lang w:val="fr-FR"/>
              </w:rPr>
              <w:t>Octaaf</w:t>
            </w:r>
          </w:p>
          <w:p>
            <w:pPr>
              <w:pStyle w:val="T4dispositie"/>
              <w:rPr>
                <w:lang w:val="fr-FR"/>
              </w:rPr>
            </w:pPr>
            <w:r>
              <w:rPr>
                <w:lang w:val="fr-FR"/>
              </w:rPr>
              <w:t>Flageolet</w:t>
            </w:r>
          </w:p>
          <w:p>
            <w:pPr>
              <w:pStyle w:val="T4dispositie"/>
              <w:rPr>
                <w:lang w:val="fr-FR"/>
              </w:rPr>
            </w:pPr>
            <w:r>
              <w:rPr>
                <w:lang w:val="fr-FR"/>
              </w:rPr>
              <w:t>Mixtuur</w:t>
            </w:r>
          </w:p>
          <w:p>
            <w:pPr>
              <w:pStyle w:val="T4dispositie"/>
              <w:rPr>
                <w:lang w:val="fr-FR"/>
              </w:rPr>
            </w:pPr>
            <w:r>
              <w:rPr>
                <w:lang w:val="fr-FR"/>
              </w:rPr>
              <w:t>Cornet</w:t>
            </w:r>
          </w:p>
          <w:p>
            <w:pPr>
              <w:pStyle w:val="T4dispositie"/>
              <w:rPr>
                <w:lang w:val="fr-FR"/>
              </w:rPr>
            </w:pPr>
            <w:r>
              <w:rPr>
                <w:lang w:val="fr-FR"/>
              </w:rPr>
              <w:t>Trompet</w:t>
            </w:r>
          </w:p>
        </w:tc>
        <w:tc>
          <w:tcPr>
            <w:tcW w:w="631" w:type="dxa"/>
            <w:tcBorders/>
          </w:tcPr>
          <w:p>
            <w:pPr>
              <w:pStyle w:val="T4dispositie"/>
              <w:snapToGrid w:val="false"/>
              <w:rPr>
                <w:lang w:val="fr-FR"/>
              </w:rPr>
            </w:pPr>
            <w:r>
              <w:rPr>
                <w:lang w:val="fr-F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1'</w:t>
            </w:r>
          </w:p>
          <w:p>
            <w:pPr>
              <w:pStyle w:val="T4dispositie"/>
              <w:rPr/>
            </w:pPr>
            <w:r>
              <w:rPr/>
              <w:t>4 st.</w:t>
            </w:r>
          </w:p>
          <w:p>
            <w:pPr>
              <w:pStyle w:val="T4dispositie"/>
              <w:rPr/>
            </w:pPr>
            <w:r>
              <w:rPr/>
            </w:r>
          </w:p>
          <w:p>
            <w:pPr>
              <w:pStyle w:val="T4dispositie"/>
              <w:rPr/>
            </w:pPr>
            <w:r>
              <w:rPr/>
              <w:t>8'</w:t>
            </w:r>
          </w:p>
        </w:tc>
      </w:tr>
    </w:tbl>
    <w:p>
      <w:pPr>
        <w:pStyle w:val="T4dispositie"/>
        <w:rPr/>
      </w:pPr>
      <w:r>
        <w:rPr/>
      </w:r>
    </w:p>
    <w:p>
      <w:pPr>
        <w:pStyle w:val="T4dispositie"/>
        <w:rPr>
          <w:lang w:val="fr-FR"/>
        </w:rPr>
      </w:pPr>
      <w:r>
        <w:rPr>
          <w:lang w:val="fr-FR"/>
        </w:rPr>
        <w:t>twee blaasbalgen</w:t>
      </w:r>
    </w:p>
    <w:p>
      <w:pPr>
        <w:pStyle w:val="T1"/>
        <w:jc w:val="start"/>
        <w:rPr>
          <w:lang w:val="nl-NL"/>
        </w:rPr>
      </w:pPr>
      <w:r>
        <w:rPr>
          <w:lang w:val="nl-NL"/>
        </w:rPr>
      </w:r>
    </w:p>
    <w:p>
      <w:pPr>
        <w:pStyle w:val="T1"/>
        <w:jc w:val="start"/>
        <w:rPr>
          <w:lang w:val="nl-NL"/>
        </w:rPr>
      </w:pPr>
      <w:r>
        <w:rPr>
          <w:lang w:val="nl-NL"/>
        </w:rPr>
        <w:t>A. Franssen 1873</w:t>
      </w:r>
    </w:p>
    <w:p>
      <w:pPr>
        <w:pStyle w:val="T1"/>
        <w:numPr>
          <w:ilvl w:val="0"/>
          <w:numId w:val="2"/>
        </w:numPr>
        <w:jc w:val="start"/>
        <w:rPr>
          <w:lang w:val="nl-NL"/>
        </w:rPr>
      </w:pPr>
      <w:r>
        <w:rPr>
          <w:lang w:val="nl-NL"/>
        </w:rPr>
        <w:t>herstel, aard van de werkzaamheden onbekend</w:t>
      </w:r>
    </w:p>
    <w:p>
      <w:pPr>
        <w:pStyle w:val="T1"/>
        <w:jc w:val="start"/>
        <w:rPr>
          <w:lang w:val="nl-NL"/>
        </w:rPr>
      </w:pPr>
      <w:r>
        <w:rPr>
          <w:lang w:val="nl-NL"/>
        </w:rPr>
      </w:r>
    </w:p>
    <w:p>
      <w:pPr>
        <w:pStyle w:val="T1"/>
        <w:jc w:val="start"/>
        <w:rPr>
          <w:lang w:val="nl-NL"/>
        </w:rPr>
      </w:pPr>
      <w:r>
        <w:rPr>
          <w:lang w:val="nl-NL"/>
        </w:rPr>
        <w:t>P.J. Vermeulen 1907</w:t>
      </w:r>
    </w:p>
    <w:p>
      <w:pPr>
        <w:pStyle w:val="T1"/>
        <w:numPr>
          <w:ilvl w:val="0"/>
          <w:numId w:val="2"/>
        </w:numPr>
        <w:jc w:val="start"/>
        <w:rPr>
          <w:lang w:val="nl-NL"/>
        </w:rPr>
      </w:pPr>
      <w:r>
        <w:rPr>
          <w:lang w:val="nl-NL"/>
        </w:rPr>
        <w:t>reparatie</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dak orgelkas verwijderd</w:t>
      </w:r>
    </w:p>
    <w:p>
      <w:pPr>
        <w:pStyle w:val="T1"/>
        <w:numPr>
          <w:ilvl w:val="0"/>
          <w:numId w:val="2"/>
        </w:numPr>
        <w:jc w:val="start"/>
        <w:rPr>
          <w:lang w:val="nl-NL"/>
        </w:rPr>
      </w:pPr>
      <w:r>
        <w:rPr>
          <w:lang w:val="nl-NL"/>
        </w:rPr>
        <w:t>magazijnbalg vernieuwd en buiten de kas geplaatst</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Gebr. Vermeulen 1921</w:t>
      </w:r>
    </w:p>
    <w:p>
      <w:pPr>
        <w:pStyle w:val="T1"/>
        <w:numPr>
          <w:ilvl w:val="0"/>
          <w:numId w:val="4"/>
        </w:numPr>
        <w:jc w:val="start"/>
        <w:rPr>
          <w:lang w:val="nl-NL"/>
        </w:rPr>
      </w:pPr>
      <w:r>
        <w:rPr>
          <w:lang w:val="nl-NL"/>
        </w:rPr>
        <w:t>nieuw orgel te Lepelstraat</w:t>
      </w:r>
    </w:p>
    <w:p>
      <w:pPr>
        <w:pStyle w:val="T1"/>
        <w:numPr>
          <w:ilvl w:val="0"/>
          <w:numId w:val="4"/>
        </w:numPr>
        <w:jc w:val="start"/>
        <w:rPr>
          <w:lang w:val="nl-NL"/>
        </w:rPr>
      </w:pPr>
      <w:r>
        <w:rPr>
          <w:lang w:val="nl-NL"/>
        </w:rPr>
        <w:t>oude orgel ingenomen</w:t>
      </w:r>
    </w:p>
    <w:p>
      <w:pPr>
        <w:pStyle w:val="T1"/>
        <w:jc w:val="start"/>
        <w:rPr>
          <w:lang w:val="nl-NL"/>
        </w:rPr>
      </w:pPr>
      <w:r>
        <w:rPr>
          <w:lang w:val="nl-NL"/>
        </w:rPr>
      </w:r>
    </w:p>
    <w:p>
      <w:pPr>
        <w:pStyle w:val="T1"/>
        <w:jc w:val="start"/>
        <w:rPr>
          <w:lang w:val="nl-NL"/>
        </w:rPr>
      </w:pPr>
      <w:r>
        <w:rPr>
          <w:lang w:val="nl-NL"/>
        </w:rPr>
        <w:t>Gebr. Vermeulen onbekend moment</w:t>
      </w:r>
    </w:p>
    <w:p>
      <w:pPr>
        <w:pStyle w:val="T1"/>
        <w:numPr>
          <w:ilvl w:val="0"/>
          <w:numId w:val="3"/>
        </w:numPr>
        <w:jc w:val="start"/>
        <w:rPr>
          <w:lang w:val="nl-NL"/>
        </w:rPr>
      </w:pPr>
      <w:r>
        <w:rPr>
          <w:lang w:val="nl-NL"/>
        </w:rPr>
        <w:t>orgel geplaatst te Nieuwkerk, kapel Klooster paters H. Familie (thans Franciscanessen) en uitgebreid met pneumatisch vrij pedaal</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708" w:type="dxa"/>
        <w:jc w:val="start"/>
        <w:tblInd w:w="-108" w:type="dxa"/>
        <w:tblLayout w:type="fixed"/>
        <w:tblCellMar>
          <w:top w:w="0" w:type="dxa"/>
          <w:start w:w="108" w:type="dxa"/>
          <w:bottom w:w="0" w:type="dxa"/>
          <w:end w:w="108" w:type="dxa"/>
        </w:tblCellMar>
      </w:tblPr>
      <w:tblGrid>
        <w:gridCol w:w="1188"/>
        <w:gridCol w:w="720"/>
        <w:gridCol w:w="1080"/>
        <w:gridCol w:w="720"/>
      </w:tblGrid>
      <w:tr>
        <w:trPr/>
        <w:tc>
          <w:tcPr>
            <w:tcW w:w="1188" w:type="dxa"/>
            <w:tcBorders/>
          </w:tcPr>
          <w:p>
            <w:pPr>
              <w:pStyle w:val="T4dispositie"/>
              <w:jc w:val="start"/>
              <w:rPr>
                <w:i/>
                <w:i/>
                <w:iCs/>
                <w:lang w:val="nl-NL"/>
              </w:rPr>
            </w:pPr>
            <w:r>
              <w:rPr>
                <w:i/>
                <w:iCs/>
                <w:lang w:val="nl-NL"/>
              </w:rPr>
              <w:t>Manuaal</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1/2</w:t>
            </w:r>
            <w:r>
              <w:rPr/>
              <w:t>'</w:t>
            </w:r>
          </w:p>
          <w:p>
            <w:pPr>
              <w:pStyle w:val="T4dispositie"/>
              <w:jc w:val="start"/>
              <w:rPr>
                <w:lang w:val="nl-NL"/>
              </w:rPr>
            </w:pPr>
            <w:r>
              <w:rPr>
                <w:lang w:val="nl-NL"/>
              </w:rPr>
              <w:t>8</w:t>
            </w:r>
            <w:r>
              <w:rPr/>
              <w:t>'</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Flûte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tc>
      </w:tr>
    </w:tbl>
    <w:p>
      <w:pPr>
        <w:pStyle w:val="T1"/>
        <w:jc w:val="start"/>
        <w:rPr>
          <w:lang w:val="nl-NL"/>
        </w:rPr>
      </w:pPr>
      <w:r>
        <w:rPr>
          <w:lang w:val="nl-NL"/>
        </w:rPr>
      </w:r>
    </w:p>
    <w:p>
      <w:pPr>
        <w:pStyle w:val="T4dispositie"/>
        <w:jc w:val="start"/>
        <w:rPr>
          <w:lang w:val="nl-NL"/>
        </w:rPr>
      </w:pPr>
      <w:r>
        <w:rPr>
          <w:lang w:val="nl-NL"/>
        </w:rPr>
        <w:t>* vanaf c</w:t>
      </w:r>
    </w:p>
    <w:p>
      <w:pPr>
        <w:pStyle w:val="T4dispositie"/>
        <w:jc w:val="start"/>
        <w:rPr>
          <w:lang w:val="nl-NL"/>
        </w:rPr>
      </w:pPr>
      <w:r>
        <w:rPr>
          <w:lang w:val="nl-NL"/>
        </w:rPr>
        <w:t>** alleen C-H</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428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Rogiers’ hand stammen in nog de kas, het handklavier, de windlade, de mechanieken en het merendeel van het Manuaalpijpwerk. De van origine sprekende frontpijpen zijn thans niet meer aangesloten. De windlade is ingedeeld in hele tonen vanuit het midden aflopend. De wellen van de toetsmechaniek zijn van metaal. Door de slechte conditie zijn niet alle toegevoegde pneumatische registerfuncties waarneembaar; een aantal houten pijpen is opgeslagen op de galerij.</w:t>
      </w:r>
    </w:p>
    <w:p>
      <w:pPr>
        <w:pStyle w:val="T1"/>
        <w:jc w:val="start"/>
        <w:rPr/>
      </w:pPr>
      <w:r>
        <w:rPr>
          <w:lang w:val="nl-NL"/>
        </w:rPr>
        <w:t>Achter het orgel bevinden zich twaalf houten Subbas-pijpen; in de bovenkas bevindt zich een kleine aanvullingslade. De Roerfluit 8' begint op c. Het groot octaaf van dit register kan worden ingeschakeld met de registertrekker Bourdon 8', tevens groot octaaf voor de Viola 8'. Deze twaalf pijpen dienen ook als klein octaaf voor de Bourdon 16'. Het klein octaaf van de Prestant 8' en het groot octaaf van de Prestant 4' zijn eveneens gecombineerd. Het groot octaaf van de Prestant 8' bestaat uit niet originele houten pijpen; 24 originele pijpen staan op de lade. De Fluit 4' en de Quint 3' zijn uitgevoerd als roerfluit, met conisch open pijpwerk voor respectievelijk c</w:t>
      </w:r>
      <w:r>
        <w:rPr>
          <w:vertAlign w:val="superscript"/>
          <w:lang w:val="nl-NL"/>
        </w:rPr>
        <w:t>3</w:t>
      </w:r>
      <w:r>
        <w:rPr>
          <w:lang w:val="nl-NL"/>
        </w:rPr>
        <w:t>-f</w:t>
      </w:r>
      <w:r>
        <w:rPr>
          <w:vertAlign w:val="superscript"/>
          <w:lang w:val="nl-NL"/>
        </w:rPr>
        <w:t>3</w:t>
      </w:r>
      <w:r>
        <w:rPr>
          <w:lang w:val="nl-NL"/>
        </w:rPr>
        <w:t xml:space="preserve"> en c</w:t>
      </w:r>
      <w:r>
        <w:rPr>
          <w:vertAlign w:val="superscript"/>
          <w:lang w:val="nl-NL"/>
        </w:rPr>
        <w:t>2</w:t>
      </w:r>
      <w:r>
        <w:rPr>
          <w:lang w:val="nl-NL"/>
        </w:rPr>
        <w:t>-f</w:t>
      </w:r>
      <w:r>
        <w:rPr>
          <w:vertAlign w:val="superscript"/>
          <w:lang w:val="nl-NL"/>
        </w:rPr>
        <w:t>3</w:t>
      </w:r>
      <w:r>
        <w:rPr>
          <w:lang w:val="nl-NL"/>
        </w:rPr>
        <w:t>. De Quint 1 1/3' bestaat uit afgesneden fabriekspijpwerk. De discant van de Bourdon 16' en de Trompet 8' stammen uit de tweede helft van de 19e eeuw. De Trompet is voorzien van metalen stevels en koppen met bekers van vier-voets lengte. De doorslaande tongen zijn door middel van paspennetjes op de vertinde lepels aangebracht en met een houten spie in de kop gefixeerd. De hoogste tonen zijn opslaand.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2010-03-16T00:41:00Z</dcterms:created>
  <dc:creator>WS1</dc:creator>
  <dc:description/>
  <dc:language>en-US</dc:language>
  <cp:lastModifiedBy>Hans</cp:lastModifiedBy>
  <cp:lastPrinted>2002-03-26T16:38:00Z</cp:lastPrinted>
  <dcterms:modified xsi:type="dcterms:W3CDTF">2010-03-16T00:41:00Z</dcterms:modified>
  <cp:revision>2</cp:revision>
  <dc:subject/>
  <dc:title>Nieuwkerk/ca 1850</dc:title>
</cp:coreProperties>
</file>