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Oudenbosch / 1856</w:t>
      </w:r>
    </w:p>
    <w:p>
      <w:pPr>
        <w:pStyle w:val="Heading2"/>
        <w:jc w:val="both"/>
        <w:rPr>
          <w:i w:val="false"/>
          <w:i w:val="false"/>
          <w:iCs/>
        </w:rPr>
      </w:pPr>
      <w:r>
        <w:rPr>
          <w:i w:val="false"/>
          <w:iCs/>
        </w:rPr>
        <w:t>Saint-Louis, kleine kapel</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r>
    </w:p>
    <w:p>
      <w:pPr>
        <w:pStyle w:val="Heading3"/>
        <w:rPr/>
      </w:pPr>
      <w:r>
        <w:rPr/>
        <w:t>Secretaire-orgel</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spacing w:val="-3"/>
        </w:rPr>
      </w:pPr>
      <w:r>
        <w:rPr>
          <w:rFonts w:cs="Times New Roman" w:ascii="Times New Roman" w:hAnsi="Times New Roman"/>
          <w:spacing w:val="-3"/>
        </w:rPr>
      </w:r>
    </w:p>
    <w:p>
      <w:pPr>
        <w:pStyle w:val="T1"/>
        <w:jc w:val="start"/>
        <w:rPr>
          <w:lang w:val="nl-NL"/>
        </w:rPr>
      </w:pPr>
      <w:r>
        <w:rPr>
          <w:lang w:val="nl-NL"/>
        </w:rPr>
        <w:t>Kas: 1856</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 xml:space="preserve">Eén van de meest zonderlinge voorbeelden van huisorgelmeubelkunst. Daar orgelmaker Hendricus Dominicus Lindsen ook als vervaardiger van kerkmeubilair actief was, is het niet onaannemelijk hem ook als auteur van dit orgelmeubel te beschouwen. Het basismeubel is opgezet volgens wandpianomodel met opstand met ojiefvormig scharnierend klavierdeksel. In het bovenblad van de opstand zijn scharnierende uitklinkluiken aangebracht, die echter niet van een zwelinrichting zijn voorzien. De hoofddecoratie is neoclassicistisch. De pilasterelementen aan weerszijden van onderkas en opstand worden door omgekeerde ojiefconsoles aan weerszijden van het klavierdeksel met elkaar verbonden. Onder aan weerszijden van de opstand zijn forse voluutelementen geplaatst met een waaiervormdecoratie aan weerszijden, de grondplaten daarvan kunnen met het klavierdeksel worden uitgeschoven. Opmerkelijk zijn voorts de gespleten en gekrulde tongvormige elementen welke de functie van basementen en kapitelen van de pilasters overnemen, maar tevens op de omgekeerde zijconsoles te vinden zijn. Geheel onder aan het basement van de onderkas zijn deze tongen van een robbellijst voorzien. Op de panelen van de deuren van de onderkas zijn horizontale en verticale gecanneleerde lijsten aangebracht, eindigend in een blokvorm met halve gerasterde C-voluut met bolvormige knop. In de hoeken zijn forse diagonale palmetten aangebracht. Onder de tussenstijlen van de opstand zijn gestileerde halve bloemen boven het klavierdeksel aangebracht. Voor het overige is de opengewerkte decoratie van de opstand, bestaande uit gefineerd zaagwerk met opgelegde lijsten voor de hoofdvormen, geheel in de vormentaal van de decoratieve neogotiek uitgevoerd. Centraal in het middenveld bevindt zich een achtledig rozet waarvan de afzonderlijke segmenten zijn ingevuld met tweepassen uitlopend in een rad met gestileerde hogels. Het centrale rozet wordt geflankeerd door een viertal visblazen met in de spitsen een gestileerde </w:t>
      </w:r>
      <w:r>
        <w:rPr>
          <w:i/>
          <w:iCs/>
          <w:lang w:val="nl-NL"/>
        </w:rPr>
        <w:t>fleur-de-lis</w:t>
      </w:r>
      <w:r>
        <w:rPr>
          <w:lang w:val="nl-NL"/>
        </w:rPr>
        <w:t xml:space="preserve"> en vervolgens een vierpasrozet dat onderling weer is ingevuld met tegengesteld roterende visblaastriglopen en vierpasrozetten met centrale ingesnoerde ruit. Boven- en onderrozetten zijn ten opzichte van elkaar gedraaid zodat de kleine rozettten horizontaal en verticaal van plaats wisselen. Hoofdvorm van de beide identieke opengewerkte opstandpanelen aan weerszijden is een tweeledige spitsboog, in de zwikken gevuld met vierpasrozet met ingesnoerde ruit en kleinere drie- en vierpas. De opgelegde lijsten van de hoofdboogvorm eindigen in niet uitgesproken neogotische console-elementen. De middelste boogsegmenten zijn gevuld met achtledige rozetten. De buitenste boogsegmenten zijn elk weer tweeledig onderverdeeld met in de spitsen een vierpasrozet, in de binnenste boogsegmenten een zespasrozet en in de buitenste een visblaastrigloop. Daaronder een vijfpas waaronder tenslotte per hoofdboogsegment een reeks van vier boognissen is aangebracht. De neogotische profilering van de opstandpanelen keert terug in de opengewerkte uitneembare klavierlijst. Aan weerszijden van de tussen bladranken geschilderde centrale signatuur met plaatsnaam Utrecht en jaartal 1856 zijn van binnen naar buiten toe rozetten aangebracht met achtereenvolgens een davidster, een vierpas met centraal vierkant, een visblaastrigloop en een zevenpas. Al met al een schoolvoorbeeld van onbekommerd eclecticisme.</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H.D. Lindsen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1856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(particulier bezit)</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geplaatst te Oudenbosch, Saint-Louis</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093" w:type="dxa"/>
        <w:jc w:val="start"/>
        <w:tblInd w:w="-108" w:type="dxa"/>
        <w:tblLayout w:type="fixed"/>
        <w:tblCellMar>
          <w:top w:w="0" w:type="dxa"/>
          <w:start w:w="108" w:type="dxa"/>
          <w:bottom w:w="0" w:type="dxa"/>
          <w:end w:w="108" w:type="dxa"/>
        </w:tblCellMar>
      </w:tblPr>
      <w:tblGrid>
        <w:gridCol w:w="1526"/>
        <w:gridCol w:w="567"/>
      </w:tblGrid>
      <w:tr>
        <w:trPr/>
        <w:tc>
          <w:tcPr>
            <w:tcW w:w="1526"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 B/D</w:t>
            </w:r>
          </w:p>
          <w:p>
            <w:pPr>
              <w:pStyle w:val="T4dispositie"/>
              <w:jc w:val="start"/>
              <w:rPr>
                <w:lang w:val="nl-NL"/>
              </w:rPr>
            </w:pPr>
            <w:r>
              <w:rPr>
                <w:lang w:val="nl-NL"/>
              </w:rPr>
              <w:t>Viooldigamba D</w:t>
            </w:r>
          </w:p>
          <w:p>
            <w:pPr>
              <w:pStyle w:val="T4dispositie"/>
              <w:jc w:val="start"/>
              <w:rPr>
                <w:lang w:val="nl-NL"/>
              </w:rPr>
            </w:pPr>
            <w:r>
              <w:rPr>
                <w:lang w:val="nl-NL"/>
              </w:rPr>
              <w:t>Prestant D</w:t>
            </w:r>
          </w:p>
          <w:p>
            <w:pPr>
              <w:pStyle w:val="T4dispositie"/>
              <w:jc w:val="start"/>
              <w:rPr>
                <w:lang w:val="nl-NL"/>
              </w:rPr>
            </w:pPr>
            <w:r>
              <w:rPr>
                <w:lang w:val="nl-NL"/>
              </w:rPr>
              <w:t>Fluitdoux B</w:t>
            </w:r>
          </w:p>
          <w:p>
            <w:pPr>
              <w:pStyle w:val="T4dispositie"/>
              <w:jc w:val="start"/>
              <w:rPr>
                <w:lang w:val="nl-NL"/>
              </w:rPr>
            </w:pPr>
            <w:r>
              <w:rPr>
                <w:lang w:val="nl-NL"/>
              </w:rPr>
              <w:t>Quint B</w:t>
            </w:r>
          </w:p>
          <w:p>
            <w:pPr>
              <w:pStyle w:val="T4dispositie"/>
              <w:jc w:val="start"/>
              <w:rPr>
                <w:lang w:val="nl-NL"/>
              </w:rPr>
            </w:pPr>
            <w:r>
              <w:rPr>
                <w:lang w:val="nl-NL"/>
              </w:rPr>
              <w:t>Woudfluit B</w:t>
            </w:r>
          </w:p>
          <w:p>
            <w:pPr>
              <w:pStyle w:val="T4dispositie"/>
              <w:jc w:val="start"/>
              <w:rPr>
                <w:lang w:val="nl-NL"/>
              </w:rPr>
            </w:pPr>
            <w:r>
              <w:rPr>
                <w:lang w:val="nl-NL"/>
              </w:rPr>
              <w:t>Sesquialter D</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 st.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ventiel</w:t>
      </w:r>
    </w:p>
    <w:p>
      <w:pPr>
        <w:pStyle w:val="T1"/>
        <w:jc w:val="start"/>
        <w:rPr>
          <w:lang w:val="nl-NL"/>
        </w:rPr>
      </w:pPr>
      <w:r>
        <w:rPr>
          <w:lang w:val="nl-NL"/>
        </w:rPr>
        <w:t>windwijzer</w:t>
      </w:r>
    </w:p>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Sesquialter   </w:t>
      </w:r>
      <w:r>
        <w:rPr>
          <w:sz w:val="20"/>
          <w:lang w:val="nl-NL"/>
        </w:rPr>
        <w:t>c</w:t>
      </w:r>
      <w:r>
        <w:rPr>
          <w:sz w:val="20"/>
          <w:vertAlign w:val="superscript"/>
          <w:lang w:val="nl-NL"/>
        </w:rPr>
        <w:t>1</w:t>
      </w:r>
      <w:r>
        <w:rPr>
          <w:sz w:val="20"/>
          <w:lang w:val="nl-NL"/>
        </w:rPr>
        <w:t xml:space="preserve">   2 2/3 - 1 3/5</w:t>
      </w:r>
    </w:p>
    <w:p>
      <w:pPr>
        <w:pStyle w:val="T1"/>
        <w:jc w:val="start"/>
        <w:rPr>
          <w:sz w:val="20"/>
          <w:lang w:val="nl-NL"/>
        </w:rPr>
      </w:pPr>
      <w:r>
        <w:rPr>
          <w:sz w:val="20"/>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Dit opmerkelijke huisorgel bleef vrijwel compleet bewaard maar is nauwelijks nog bespeelbaar. De registertrekkers zijn in tweemaal twee horizontale rijen aan weerszijden van het klavierplankje aangebracht, links voor de bas, rechts voor de discant. De opengewerkte klavierlijst is gesigneerd en voorzien van ivoren handgrepen. De gelobde ebbenhouten registerknoppen zijn aan de voorzijde voorzien van een ivoren sierknop. De registeropschriften zijn paarsgewijs in kapitalen op orgelmetalen strips geschilderd. Voor de verticaal geplaatste knoppen voor de werktuiglijke registers, eveneens met ivoren knop, zijn naamplaatjes in liggende positie op het klavierblad aan weerszijden van het handklavier aangebracht, de geprofileerde bakstukken hebben ivoren randen. De eigenlijke windwijzer inclusief knop en het rechter bakstukrozet ontbreken.</w:t>
      </w:r>
    </w:p>
    <w:p>
      <w:pPr>
        <w:pStyle w:val="T1"/>
        <w:jc w:val="start"/>
        <w:rPr/>
      </w:pPr>
      <w:r>
        <w:rPr>
          <w:lang w:val="nl-NL"/>
        </w:rPr>
        <w:t>De magazijnbalg met enkele vouw en schepbalg bevindt zich onder de windlade. De windlade is ingedeeld met C-dis in hele tonen naar binnen aflopend aan weerszijden (C-zijde links) en e-f</w:t>
      </w:r>
      <w:r>
        <w:rPr>
          <w:vertAlign w:val="superscript"/>
          <w:lang w:val="nl-NL"/>
        </w:rPr>
        <w:t>3</w:t>
      </w:r>
      <w:r>
        <w:rPr>
          <w:lang w:val="nl-NL"/>
        </w:rPr>
        <w:t xml:space="preserve"> chromatisch tussen d en dis. De ventielen worden van bovenaf aangestoten Voor C-h is een walsbord op de lade geplaatst, c</w:t>
      </w:r>
      <w:r>
        <w:rPr>
          <w:vertAlign w:val="superscript"/>
          <w:lang w:val="nl-NL"/>
        </w:rPr>
        <w:t>1</w:t>
      </w:r>
      <w:r>
        <w:rPr>
          <w:lang w:val="nl-NL"/>
        </w:rPr>
        <w:t>-f</w:t>
      </w:r>
      <w:r>
        <w:rPr>
          <w:vertAlign w:val="superscript"/>
          <w:lang w:val="nl-NL"/>
        </w:rPr>
        <w:t>3</w:t>
      </w:r>
      <w:r>
        <w:rPr>
          <w:lang w:val="nl-NL"/>
        </w:rPr>
        <w:t xml:space="preserve"> zijn via diagonale stoters rechtstreeks met het klavier verbonden. De Sesquialter D is direct achter het walsbord onder het klavier opgesteld. C-h van Holpijp 8', Fluitdoux B 4' en Woudfluit B 2' zijn van eiken met houten zijbaarden en metalen spraakstukken bij wijze van schuine kastbaarden en merendeels nog de originele, fraaie geronde handgrepen. C-g van de Holpijp 8' staan via metalen conducten afgevoerd in ladevolgorde op een vervoerstok achter de lade tegen de achterwand, C-E zijn verkropt. Van de Viool di Gamba D 8' is c</w:t>
      </w:r>
      <w:r>
        <w:rPr>
          <w:vertAlign w:val="superscript"/>
          <w:lang w:val="nl-NL"/>
        </w:rPr>
        <w:t>1</w:t>
      </w:r>
      <w:r>
        <w:rPr>
          <w:lang w:val="nl-NL"/>
        </w:rPr>
        <w:t xml:space="preserve"> een later geplaatste pijp met geperst labium en stemkrul, cis</w:t>
      </w:r>
      <w:r>
        <w:rPr>
          <w:vertAlign w:val="superscript"/>
          <w:lang w:val="nl-NL"/>
        </w:rPr>
        <w:t>1</w:t>
      </w:r>
      <w:r>
        <w:rPr>
          <w:lang w:val="nl-NL"/>
        </w:rPr>
        <w:t>-f</w:t>
      </w:r>
      <w:r>
        <w:rPr>
          <w:vertAlign w:val="superscript"/>
          <w:lang w:val="nl-NL"/>
        </w:rPr>
        <w:t>3</w:t>
      </w:r>
      <w:r>
        <w:rPr>
          <w:lang w:val="nl-NL"/>
        </w:rPr>
        <w:t xml:space="preserve"> zijn waarschijnlijk een halve toon verschoven en later voorzien van expressions, c</w:t>
      </w:r>
      <w:r>
        <w:rPr>
          <w:vertAlign w:val="superscript"/>
          <w:lang w:val="nl-NL"/>
        </w:rPr>
        <w:t>1</w:t>
      </w:r>
      <w:r>
        <w:rPr>
          <w:lang w:val="nl-NL"/>
        </w:rPr>
        <w:t>-h</w:t>
      </w:r>
      <w:r>
        <w:rPr>
          <w:vertAlign w:val="superscript"/>
          <w:lang w:val="nl-NL"/>
        </w:rPr>
        <w:t>1</w:t>
      </w:r>
      <w:r>
        <w:rPr>
          <w:lang w:val="nl-NL"/>
        </w:rPr>
        <w:t xml:space="preserve"> hebben zijbaarden. Prestant D 4' en Sesquialtera D zijn integraal op lengte afgesneden. De Quint B 3' en c</w:t>
      </w:r>
      <w:r>
        <w:rPr>
          <w:vertAlign w:val="superscript"/>
          <w:lang w:val="nl-NL"/>
        </w:rPr>
        <w:t>1</w:t>
      </w:r>
      <w:r>
        <w:rPr>
          <w:lang w:val="nl-NL"/>
        </w:rPr>
        <w:t>-f</w:t>
      </w:r>
      <w:r>
        <w:rPr>
          <w:vertAlign w:val="superscript"/>
          <w:lang w:val="nl-NL"/>
        </w:rPr>
        <w:t>3</w:t>
      </w:r>
      <w:r>
        <w:rPr>
          <w:lang w:val="nl-NL"/>
        </w:rPr>
        <w:t xml:space="preserve"> van de Holpijp 8' zijn van metaal, gedekt met zijbaarden. C-G van de Quint 3' zijn via metalen condcucten afgevoerd boven de bassleep van de Holpijp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outlineLvl w:val="2"/>
    </w:pPr>
    <w:rPr>
      <w:rFonts w:ascii="Times New Roman" w:hAnsi="Times New Roman" w:cs="Times New Roman"/>
      <w:b/>
      <w:bCs/>
      <w:spacing w:val="-3"/>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jc w:val="both"/>
    </w:pPr>
    <w:rPr>
      <w:rFonts w:ascii="Times New Roman" w:hAnsi="Times New Roman" w:cs="Times New Roman"/>
      <w:i/>
      <w:iCs/>
      <w:spacing w:val="-3"/>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2010-03-16T10:32:00Z</dcterms:created>
  <dc:creator>WS2</dc:creator>
  <dc:description/>
  <dc:language>en-US</dc:language>
  <cp:lastModifiedBy>NIvO</cp:lastModifiedBy>
  <cp:lastPrinted>2009-09-25T15:25:00Z</cp:lastPrinted>
  <dcterms:modified xsi:type="dcterms:W3CDTF">2010-03-16T10:32:00Z</dcterms:modified>
  <cp:revision>2</cp:revision>
  <dc:subject/>
  <dc:title>Enkhuizen/ca 1845</dc:title>
</cp:coreProperties>
</file>