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Radewijk / 1860</w:t>
      </w:r>
    </w:p>
    <w:p>
      <w:pPr>
        <w:pStyle w:val="Heading2"/>
        <w:ind w:start="0" w:end="0" w:hanging="0"/>
        <w:rPr>
          <w:i w:val="false"/>
          <w:i w:val="false"/>
          <w:iCs/>
        </w:rPr>
      </w:pPr>
      <w:r>
        <w:rPr>
          <w:i w:val="false"/>
          <w:iCs/>
        </w:rPr>
        <w:t>Protestantse Kerk De Opgang</w:t>
      </w:r>
    </w:p>
    <w:p>
      <w:pPr>
        <w:pStyle w:val="T1"/>
        <w:jc w:val="start"/>
        <w:rPr>
          <w:i/>
          <w:i/>
          <w:iCs/>
          <w:lang w:val="nl-NL"/>
        </w:rPr>
      </w:pPr>
      <w:r>
        <w:rPr>
          <w:i/>
          <w:iCs/>
          <w:lang w:val="nl-NL"/>
        </w:rPr>
      </w:r>
    </w:p>
    <w:p>
      <w:pPr>
        <w:pStyle w:val="T1"/>
        <w:jc w:val="start"/>
        <w:rPr>
          <w:i/>
          <w:i/>
          <w:iCs/>
          <w:lang w:val="nl-NL"/>
        </w:rPr>
      </w:pPr>
      <w:r>
        <w:rPr>
          <w:i/>
          <w:iCs/>
          <w:lang w:val="nl-NL"/>
        </w:rPr>
        <w:t>Kerkgebouw uit 1970 naar ontwerp van A.E. Schöne; in 2008-‘09 ingrijpend verbouwd.</w:t>
      </w:r>
    </w:p>
    <w:p>
      <w:pPr>
        <w:pStyle w:val="T1"/>
        <w:jc w:val="start"/>
        <w:rPr>
          <w:i/>
          <w:i/>
          <w:iCs/>
          <w:lang w:val="nl-NL"/>
        </w:rPr>
      </w:pPr>
      <w:r>
        <w:rPr>
          <w:i/>
          <w:iCs/>
          <w:lang w:val="nl-NL"/>
        </w:rPr>
      </w:r>
    </w:p>
    <w:p>
      <w:pPr>
        <w:pStyle w:val="T1"/>
        <w:jc w:val="start"/>
        <w:rPr>
          <w:lang w:val="nl-NL"/>
        </w:rPr>
      </w:pPr>
      <w:r>
        <w:rPr>
          <w:lang w:val="nl-NL"/>
        </w:rPr>
        <w:t>Kas: 1860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Eenvoudig maar stijlvol Engels orgelmeubel, bestaande uit een onderkas van gelijke breedte als die van de bovenkas, en een bovenkas met vijfdelig vlak front.</w:t>
      </w:r>
    </w:p>
    <w:p>
      <w:pPr>
        <w:pStyle w:val="T2Kunst"/>
        <w:jc w:val="start"/>
        <w:rPr>
          <w:lang w:val="nl-NL"/>
        </w:rPr>
      </w:pPr>
      <w:r>
        <w:rPr>
          <w:lang w:val="nl-NL"/>
        </w:rPr>
        <w:t>De houten imitatie-frontpijpen zijn van een vergulding voorzien. In de beide buitenste velden staan de grootste pijpen, in het middelste veld, waarvan de bekronende kap wat lager ligt dan beide de buitenste velden, staan pijpen die wat lengte betreft op die van de buitenste velden volgen. Het paneeltje tussen de onderste frontlijst en de pijpvoeten is bij het middenveld iets hoger dan bij de buitenste velden. De beide tussenvelden vormen de breedste elementen in dit front. Ze zijn ten opzichte van de partijen met drie pijpen ook weer hoger geplaatst. De labiumlijn verloopt in een duidelijke V-vorm.</w:t>
      </w:r>
    </w:p>
    <w:p>
      <w:pPr>
        <w:pStyle w:val="T2Kunst"/>
        <w:jc w:val="start"/>
        <w:rPr>
          <w:lang w:val="nl-NL"/>
        </w:rPr>
      </w:pPr>
      <w:r>
        <w:rPr>
          <w:lang w:val="nl-NL"/>
        </w:rPr>
        <w:t>Alle frontvelden worden aan de bovenzijde afgesloten door een vlak boogvormig paneeltje. De afsluitende lijsten boven de tussenvelden bestaan uit meerdere ‘lagen’ en zijn daardoor vrij massief uitgevallen, ook al heeft men dit door de gekozen vormgeving trachten te verzachten.</w:t>
      </w:r>
    </w:p>
    <w:p>
      <w:pPr>
        <w:pStyle w:val="T2Kunst"/>
        <w:jc w:val="start"/>
        <w:rPr>
          <w:lang w:val="nl-NL"/>
        </w:rPr>
      </w:pPr>
      <w:r>
        <w:rPr>
          <w:lang w:val="nl-NL"/>
        </w:rPr>
        <w:t>Bovenop deze lijsten bevindt zich het enige ornament dat dit front rijk is: een luchtig opzetstukje, opgebouwd uit twee liggende, symmetrisch gekoppelde S-voluten. Opmerkelijk zijn tenslotte de vrij brede frontstijlen, die aan de onderzijde van een basementje zijn voorzien. Ze dragen de horizontale, eenvoudig vormgegeven uitkragende kappen van de drie velden met grootste pijpen.</w:t>
      </w:r>
    </w:p>
    <w:p>
      <w:pPr>
        <w:pStyle w:val="T2Kunst"/>
        <w:jc w:val="start"/>
        <w:rPr>
          <w:lang w:val="nl-NL"/>
        </w:rPr>
      </w:pPr>
      <w:r>
        <w:rPr>
          <w:lang w:val="nl-NL"/>
        </w:rPr>
      </w:r>
    </w:p>
    <w:p>
      <w:pPr>
        <w:pStyle w:val="T3Lit"/>
        <w:rPr>
          <w:b/>
          <w:b/>
          <w:bCs/>
          <w:lang w:val="nl-NL"/>
        </w:rPr>
      </w:pPr>
      <w:r>
        <w:rPr>
          <w:b/>
          <w:bCs/>
          <w:lang w:val="nl-NL"/>
        </w:rPr>
        <w:t>Niet gepubliceerde bron</w:t>
      </w:r>
    </w:p>
    <w:p>
      <w:pPr>
        <w:pStyle w:val="T3Lit"/>
        <w:rPr>
          <w:bCs/>
          <w:lang w:val="nl-NL"/>
        </w:rPr>
      </w:pPr>
      <w:r>
        <w:rPr>
          <w:bCs/>
          <w:lang w:val="nl-NL"/>
        </w:rPr>
        <w:t>Informatie verstrekt door F.R. Feenstra.</w:t>
      </w:r>
    </w:p>
    <w:p>
      <w:pPr>
        <w:pStyle w:val="T2Kunst"/>
        <w:jc w:val="start"/>
        <w:rPr>
          <w:bCs/>
          <w:lang w:val="nl-NL"/>
        </w:rPr>
      </w:pPr>
      <w:r>
        <w:rPr>
          <w:bCs/>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 Sweetland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1860</w:t>
      </w:r>
    </w:p>
    <w:p>
      <w:pPr>
        <w:pStyle w:val="T1"/>
        <w:jc w:val="start"/>
        <w:rPr>
          <w:lang w:val="nl-NL"/>
        </w:rPr>
      </w:pPr>
      <w:r>
        <w:rPr>
          <w:lang w:val="nl-NL"/>
        </w:rPr>
      </w:r>
    </w:p>
    <w:p>
      <w:pPr>
        <w:pStyle w:val="T1"/>
        <w:jc w:val="start"/>
        <w:rPr>
          <w:lang w:val="nl-NL"/>
        </w:rPr>
      </w:pPr>
      <w:r>
        <w:rPr>
          <w:lang w:val="nl-NL"/>
        </w:rPr>
        <w:t>Oorspronkelijke locatie</w:t>
      </w:r>
    </w:p>
    <w:p>
      <w:pPr>
        <w:pStyle w:val="T1"/>
        <w:rPr>
          <w:lang w:val="nl-NL"/>
        </w:rPr>
      </w:pPr>
      <w:r>
        <w:rPr>
          <w:lang w:val="nl-NL"/>
        </w:rPr>
        <w:t>Cock-Road Methodist Church te Kingswood</w:t>
      </w:r>
    </w:p>
    <w:p>
      <w:pPr>
        <w:pStyle w:val="T1"/>
        <w:rPr>
          <w:lang w:val="nl-NL"/>
        </w:rPr>
      </w:pPr>
      <w:r>
        <w:rPr>
          <w:lang w:val="nl-NL"/>
        </w:rPr>
      </w:r>
    </w:p>
    <w:p>
      <w:pPr>
        <w:pStyle w:val="T1"/>
        <w:rPr>
          <w:lang w:val="nl-NL"/>
        </w:rPr>
      </w:pPr>
      <w:r>
        <w:rPr>
          <w:lang w:val="nl-NL"/>
        </w:rPr>
        <w:t>1910</w:t>
      </w:r>
    </w:p>
    <w:p>
      <w:pPr>
        <w:pStyle w:val="T1"/>
        <w:numPr>
          <w:ilvl w:val="0"/>
          <w:numId w:val="2"/>
        </w:numPr>
        <w:rPr>
          <w:lang w:val="nl-NL"/>
        </w:rPr>
      </w:pPr>
      <w:r>
        <w:rPr>
          <w:lang w:val="nl-NL"/>
        </w:rPr>
        <w:t>orgel geplaatst in de Meth. Church te Bridgeyate (Gloucestershire)</w:t>
      </w:r>
    </w:p>
    <w:p>
      <w:pPr>
        <w:pStyle w:val="T1"/>
        <w:rPr>
          <w:lang w:val="nl-NL"/>
        </w:rPr>
      </w:pPr>
      <w:r>
        <w:rPr>
          <w:lang w:val="nl-NL"/>
        </w:rPr>
      </w:r>
    </w:p>
    <w:p>
      <w:pPr>
        <w:pStyle w:val="T1"/>
        <w:rPr>
          <w:lang w:val="nl-NL"/>
        </w:rPr>
      </w:pPr>
      <w:r>
        <w:rPr>
          <w:lang w:val="nl-NL"/>
        </w:rPr>
        <w:t>F.R. Feenstra 2009</w:t>
      </w:r>
    </w:p>
    <w:p>
      <w:pPr>
        <w:pStyle w:val="T1"/>
        <w:numPr>
          <w:ilvl w:val="0"/>
          <w:numId w:val="2"/>
        </w:numPr>
        <w:rPr>
          <w:lang w:val="nl-NL"/>
        </w:rPr>
      </w:pPr>
      <w:r>
        <w:rPr>
          <w:lang w:val="nl-NL"/>
        </w:rPr>
        <w:t>orgel gerestaureerd en geplaatst te Radewijk, De Opgang</w:t>
      </w:r>
    </w:p>
    <w:p>
      <w:pPr>
        <w:pStyle w:val="T1"/>
        <w:numPr>
          <w:ilvl w:val="0"/>
          <w:numId w:val="2"/>
        </w:numPr>
        <w:rPr>
          <w:lang w:val="nl-NL"/>
        </w:rPr>
      </w:pPr>
      <w:r>
        <w:rPr>
          <w:lang w:val="nl-NL"/>
        </w:rPr>
        <w:t>kas hersteld; nieuwe plint en twee nieuwe onderpanelen</w:t>
      </w:r>
    </w:p>
    <w:p>
      <w:pPr>
        <w:pStyle w:val="T1"/>
        <w:numPr>
          <w:ilvl w:val="0"/>
          <w:numId w:val="2"/>
        </w:numPr>
        <w:rPr>
          <w:lang w:val="nl-NL"/>
        </w:rPr>
      </w:pPr>
      <w:r>
        <w:rPr>
          <w:lang w:val="nl-NL"/>
        </w:rPr>
        <w:t>kas geschilderd in imitatie eiken; frontpijpen opnieuw verguld</w:t>
      </w:r>
    </w:p>
    <w:p>
      <w:pPr>
        <w:pStyle w:val="T1"/>
        <w:numPr>
          <w:ilvl w:val="0"/>
          <w:numId w:val="2"/>
        </w:numPr>
        <w:rPr>
          <w:lang w:val="nl-NL"/>
        </w:rPr>
      </w:pPr>
      <w:r>
        <w:rPr>
          <w:lang w:val="nl-NL"/>
        </w:rPr>
        <w:t>magazijnbalg opnieuw beleerd; kanalen hersteld</w:t>
      </w:r>
    </w:p>
    <w:p>
      <w:pPr>
        <w:pStyle w:val="T1"/>
        <w:numPr>
          <w:ilvl w:val="0"/>
          <w:numId w:val="2"/>
        </w:numPr>
        <w:rPr>
          <w:lang w:val="nl-NL"/>
        </w:rPr>
      </w:pPr>
      <w:r>
        <w:rPr>
          <w:lang w:val="nl-NL"/>
        </w:rPr>
        <w:t>pedaalomvang en Bourdon 16' uitgebreid van C-c tot C-d</w:t>
      </w:r>
      <w:r>
        <w:rPr>
          <w:vertAlign w:val="superscript"/>
          <w:lang w:val="nl-NL"/>
        </w:rPr>
        <w:t>1</w:t>
      </w:r>
    </w:p>
    <w:p>
      <w:pPr>
        <w:pStyle w:val="T1"/>
        <w:numPr>
          <w:ilvl w:val="0"/>
          <w:numId w:val="2"/>
        </w:numPr>
        <w:rPr>
          <w:lang w:val="nl-NL"/>
        </w:rPr>
      </w:pPr>
      <w:r>
        <w:rPr>
          <w:lang w:val="nl-NL"/>
        </w:rPr>
        <w:t>windladen gerestaureerd en van hechthouten platen voorzien; ventielen opnieuw beleerd</w:t>
      </w:r>
    </w:p>
    <w:p>
      <w:pPr>
        <w:pStyle w:val="T1"/>
        <w:numPr>
          <w:ilvl w:val="0"/>
          <w:numId w:val="2"/>
        </w:numPr>
        <w:rPr>
          <w:lang w:val="nl-NL"/>
        </w:rPr>
      </w:pPr>
      <w:r>
        <w:rPr>
          <w:lang w:val="nl-NL"/>
        </w:rPr>
        <w:t>pijpwerk hersteld; + Sesquialtra &amp; Cornet 2-3 r.</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2055"/>
        <w:gridCol w:w="709"/>
        <w:gridCol w:w="850"/>
        <w:gridCol w:w="403"/>
      </w:tblGrid>
      <w:tr>
        <w:trPr/>
        <w:tc>
          <w:tcPr>
            <w:tcW w:w="2055" w:type="dxa"/>
            <w:tcBorders/>
          </w:tcPr>
          <w:p>
            <w:pPr>
              <w:pStyle w:val="T4dispositie"/>
              <w:rPr>
                <w:i/>
                <w:i/>
                <w:iCs/>
                <w:lang w:val="nl-NL"/>
              </w:rPr>
            </w:pPr>
            <w:r>
              <w:rPr>
                <w:i/>
                <w:iCs/>
                <w:lang w:val="nl-NL"/>
              </w:rPr>
              <w:t>Manual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Open Diapason</w:t>
            </w:r>
          </w:p>
          <w:p>
            <w:pPr>
              <w:pStyle w:val="T4dispositie"/>
              <w:rPr>
                <w:lang w:val="nl-NL"/>
              </w:rPr>
            </w:pPr>
            <w:r>
              <w:rPr>
                <w:lang w:val="nl-NL"/>
              </w:rPr>
              <w:t>Stop Diapason B/D</w:t>
            </w:r>
          </w:p>
          <w:p>
            <w:pPr>
              <w:pStyle w:val="T4dispositie"/>
              <w:rPr>
                <w:lang w:val="nl-NL"/>
              </w:rPr>
            </w:pPr>
            <w:r>
              <w:rPr>
                <w:lang w:val="nl-NL"/>
              </w:rPr>
              <w:t>Dulciana</w:t>
            </w:r>
          </w:p>
          <w:p>
            <w:pPr>
              <w:pStyle w:val="T4dispositie"/>
              <w:rPr>
                <w:lang w:val="nl-NL"/>
              </w:rPr>
            </w:pPr>
            <w:r>
              <w:rPr>
                <w:lang w:val="nl-NL"/>
              </w:rPr>
              <w:t>Principal</w:t>
            </w:r>
          </w:p>
          <w:p>
            <w:pPr>
              <w:pStyle w:val="T4dispositie"/>
              <w:rPr>
                <w:lang w:val="nl-NL"/>
              </w:rPr>
            </w:pPr>
            <w:r>
              <w:rPr>
                <w:lang w:val="nl-NL"/>
              </w:rPr>
              <w:t>German Flute</w:t>
            </w:r>
          </w:p>
          <w:p>
            <w:pPr>
              <w:pStyle w:val="T4dispositie"/>
              <w:rPr>
                <w:lang w:val="nl-NL"/>
              </w:rPr>
            </w:pPr>
            <w:r>
              <w:rPr>
                <w:lang w:val="nl-NL"/>
              </w:rPr>
              <w:t>Fifteenth</w:t>
            </w:r>
          </w:p>
          <w:p>
            <w:pPr>
              <w:pStyle w:val="T4dispositie"/>
              <w:rPr>
                <w:lang w:val="nl-NL"/>
              </w:rPr>
            </w:pPr>
            <w:r>
              <w:rPr>
                <w:lang w:val="nl-NL"/>
              </w:rPr>
              <w:t xml:space="preserve">Sesquialtera &amp; Cornet </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850" w:type="dxa"/>
            <w:tcBorders/>
          </w:tcPr>
          <w:p>
            <w:pPr>
              <w:pStyle w:val="T4dispositie"/>
              <w:rPr>
                <w:lang w:val="nl-NL"/>
              </w:rPr>
            </w:pPr>
            <w:r>
              <w:rPr>
                <w:i/>
                <w:lang w:val="nl-NL"/>
              </w:rPr>
              <w:t>Pedal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40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zwelinrichting (niet aangesloten)</w:t>
      </w:r>
    </w:p>
    <w:p>
      <w:pPr>
        <w:pStyle w:val="T1"/>
        <w:jc w:val="start"/>
        <w:rPr>
          <w:lang w:val="nl-NL"/>
        </w:rPr>
      </w:pPr>
      <w:r>
        <w:rPr>
          <w:lang w:val="nl-NL"/>
        </w:rPr>
      </w:r>
    </w:p>
    <w:p>
      <w:pPr>
        <w:pStyle w:val="T1"/>
        <w:jc w:val="start"/>
        <w:rPr>
          <w:lang w:val="nl-NL"/>
        </w:rPr>
      </w:pPr>
      <w:r>
        <w:rPr>
          <w:lang w:val="nl-NL"/>
        </w:rPr>
        <w:t>Samenstelling vulstem</w:t>
      </w:r>
    </w:p>
    <w:tbl>
      <w:tblPr>
        <w:tblW w:w="3500" w:type="dxa"/>
        <w:jc w:val="start"/>
        <w:tblInd w:w="0" w:type="dxa"/>
        <w:tblLayout w:type="fixed"/>
        <w:tblCellMar>
          <w:top w:w="0" w:type="dxa"/>
          <w:start w:w="108" w:type="dxa"/>
          <w:bottom w:w="0" w:type="dxa"/>
          <w:end w:w="108" w:type="dxa"/>
        </w:tblCellMar>
      </w:tblPr>
      <w:tblGrid>
        <w:gridCol w:w="2286"/>
        <w:gridCol w:w="607"/>
        <w:gridCol w:w="607"/>
      </w:tblGrid>
      <w:tr>
        <w:trPr/>
        <w:tc>
          <w:tcPr>
            <w:tcW w:w="2286" w:type="dxa"/>
            <w:tcBorders/>
          </w:tcPr>
          <w:p>
            <w:pPr>
              <w:pStyle w:val="T1"/>
              <w:jc w:val="start"/>
              <w:rPr>
                <w:lang w:val="nl-NL"/>
              </w:rPr>
            </w:pPr>
            <w:r>
              <w:rPr>
                <w:lang w:val="nl-NL"/>
              </w:rPr>
              <w:t>Sesquialtera &amp; Cornet</w:t>
            </w:r>
          </w:p>
        </w:tc>
        <w:tc>
          <w:tcPr>
            <w:tcW w:w="607" w:type="dxa"/>
            <w:tcBorders/>
          </w:tcPr>
          <w:p>
            <w:pPr>
              <w:pStyle w:val="T1"/>
              <w:jc w:val="start"/>
              <w:rPr>
                <w:sz w:val="20"/>
                <w:lang w:val="nl-NL"/>
              </w:rPr>
            </w:pPr>
            <w:r>
              <w:rPr>
                <w:sz w:val="20"/>
                <w:lang w:val="nl-NL"/>
              </w:rPr>
              <w:t>C</w:t>
            </w:r>
          </w:p>
          <w:p>
            <w:pPr>
              <w:pStyle w:val="T1"/>
              <w:jc w:val="start"/>
              <w:rPr>
                <w:sz w:val="20"/>
                <w:lang w:val="nl-NL"/>
              </w:rPr>
            </w:pPr>
            <w:r>
              <w:rPr>
                <w:sz w:val="20"/>
                <w:lang w:val="nl-NL"/>
              </w:rPr>
              <w:t>1 3/5</w:t>
            </w:r>
          </w:p>
          <w:p>
            <w:pPr>
              <w:pStyle w:val="T1"/>
              <w:jc w:val="start"/>
              <w:rPr>
                <w:sz w:val="20"/>
                <w:lang w:val="nl-NL"/>
              </w:rPr>
            </w:pPr>
            <w:r>
              <w:rPr>
                <w:sz w:val="20"/>
                <w:lang w:val="nl-NL"/>
              </w:rPr>
              <w:t>1 1/3</w:t>
            </w:r>
          </w:p>
        </w:tc>
        <w:tc>
          <w:tcPr>
            <w:tcW w:w="607" w:type="dxa"/>
            <w:tcBorders/>
          </w:tcPr>
          <w:p>
            <w:pPr>
              <w:pStyle w:val="T1"/>
              <w:jc w:val="start"/>
              <w:rPr/>
            </w:pPr>
            <w:r>
              <w:rPr>
                <w:sz w:val="20"/>
                <w:lang w:val="nl-NL"/>
              </w:rPr>
              <w:t>c</w:t>
            </w:r>
            <w:r>
              <w:rPr>
                <w:sz w:val="20"/>
                <w:vertAlign w:val="superscript"/>
                <w:lang w:val="nl-NL"/>
              </w:rPr>
              <w:t>1</w:t>
            </w:r>
          </w:p>
          <w:p>
            <w:pPr>
              <w:pStyle w:val="T1"/>
              <w:jc w:val="start"/>
              <w:rPr>
                <w:sz w:val="20"/>
                <w:lang w:val="nl-NL"/>
              </w:rPr>
            </w:pPr>
            <w:r>
              <w:rPr>
                <w:sz w:val="20"/>
                <w:lang w:val="nl-NL"/>
              </w:rPr>
              <w:t>2 2/3</w:t>
            </w:r>
          </w:p>
          <w:p>
            <w:pPr>
              <w:pStyle w:val="T1"/>
              <w:jc w:val="start"/>
              <w:rPr>
                <w:sz w:val="20"/>
                <w:lang w:val="nl-NL"/>
              </w:rPr>
            </w:pPr>
            <w:r>
              <w:rPr>
                <w:sz w:val="20"/>
                <w:lang w:val="nl-NL"/>
              </w:rPr>
              <w:t>2</w:t>
            </w:r>
          </w:p>
          <w:p>
            <w:pPr>
              <w:pStyle w:val="T1"/>
              <w:jc w:val="start"/>
              <w:rPr>
                <w:sz w:val="20"/>
                <w:lang w:val="nl-NL"/>
              </w:rPr>
            </w:pPr>
            <w:r>
              <w:rPr>
                <w:sz w:val="20"/>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443 Hz</w:t>
      </w:r>
    </w:p>
    <w:p>
      <w:pPr>
        <w:pStyle w:val="T1"/>
        <w:jc w:val="start"/>
        <w:rPr>
          <w:lang w:val="nl-NL"/>
        </w:rPr>
      </w:pPr>
      <w:r>
        <w:rPr>
          <w:lang w:val="nl-NL"/>
        </w:rPr>
        <w:t>Temperatuur</w:t>
      </w:r>
    </w:p>
    <w:p>
      <w:pPr>
        <w:pStyle w:val="T1"/>
        <w:jc w:val="start"/>
        <w:rPr>
          <w:lang w:val="nl-NL"/>
        </w:rPr>
      </w:pPr>
      <w:r>
        <w:rPr>
          <w:lang w:val="nl-NL"/>
        </w:rPr>
        <w:t>young</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Deling B/D tussen H en c.</w:t>
      </w:r>
    </w:p>
    <w:p>
      <w:pPr>
        <w:pStyle w:val="T1"/>
        <w:jc w:val="start"/>
        <w:rPr>
          <w:lang w:val="nl-NL"/>
        </w:rPr>
      </w:pPr>
      <w:r>
        <w:rPr/>
        <w:t xml:space="preserve">De frontpijpen zijn van hout. De </w:t>
      </w:r>
      <w:r>
        <w:rPr>
          <w:lang w:eastAsia="nl-NL"/>
        </w:rPr>
        <w:t>Open Diapason 8</w:t>
      </w:r>
      <w:r>
        <w:rPr>
          <w:rFonts w:cs="Courier New"/>
        </w:rPr>
        <w:t>'</w:t>
      </w:r>
      <w:r>
        <w:rPr>
          <w:lang w:eastAsia="nl-NL"/>
        </w:rPr>
        <w:t xml:space="preserve"> en de Dulciana 8</w:t>
      </w:r>
      <w:r>
        <w:rPr>
          <w:rFonts w:cs="Courier New"/>
        </w:rPr>
        <w:t>'</w:t>
      </w:r>
      <w:r>
        <w:rPr>
          <w:lang w:eastAsia="nl-NL"/>
        </w:rPr>
        <w:t xml:space="preserve"> beginnen op c. De Stop Diapason B/D is geheel van hout gedekt. De German Flute is van hout, open ‘inverted’ labium. De Principal en de Fifteenth zijn van metaal. </w:t>
      </w:r>
      <w:r>
        <w:rPr>
          <w:lang w:val="nl-NL" w:eastAsia="nl-NL"/>
        </w:rPr>
        <w:t>De Bourdon 16</w:t>
      </w:r>
      <w:r>
        <w:rPr>
          <w:rFonts w:cs="Courier New"/>
          <w:lang w:val="nl-NL"/>
        </w:rPr>
        <w:t>'</w:t>
      </w:r>
      <w:r>
        <w:rPr>
          <w:lang w:val="nl-NL" w:eastAsia="nl-NL"/>
        </w:rPr>
        <w:t xml:space="preserve"> is van hout gedekt.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Documentstructuur">
    <w:name w:val="Documentstructuur"/>
    <w:basedOn w:val="Normal"/>
    <w:qFormat/>
    <w:pPr>
      <w:shd w:fill="000080" w:val="clear"/>
    </w:pPr>
    <w:rPr>
      <w:rFonts w:ascii="Tahoma" w:hAnsi="Tahoma" w:cs="Tahoma"/>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2010-03-16T20:30:00Z</dcterms:created>
  <dc:creator>WS1</dc:creator>
  <dc:description/>
  <dc:language>en-US</dc:language>
  <cp:lastModifiedBy>Hans Steketee</cp:lastModifiedBy>
  <dcterms:modified xsi:type="dcterms:W3CDTF">2010-03-16T20:52:00Z</dcterms:modified>
  <cp:revision>3</cp:revision>
  <dc:subject/>
  <dc:title>Niekerk (Hunsingo) / 1883</dc:title>
</cp:coreProperties>
</file>