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Den Ham / 1867</w:t>
      </w:r>
    </w:p>
    <w:p>
      <w:pPr>
        <w:pStyle w:val="Heading2"/>
        <w:rPr>
          <w:i w:val="false"/>
          <w:i w:val="false"/>
          <w:iCs/>
        </w:rPr>
      </w:pPr>
      <w:r>
        <w:rPr>
          <w:i w:val="false"/>
          <w:iCs/>
        </w:rPr>
        <w:t>Gereformeerde Kerk Vrijgemaakt De Fontein</w:t>
      </w:r>
    </w:p>
    <w:p>
      <w:pPr>
        <w:pStyle w:val="T1"/>
        <w:jc w:val="start"/>
        <w:rPr>
          <w:i/>
          <w:i/>
          <w:iCs/>
          <w:lang w:val="nl-NL"/>
        </w:rPr>
      </w:pPr>
      <w:r>
        <w:rPr>
          <w:i/>
          <w:iCs/>
          <w:lang w:val="nl-NL"/>
        </w:rPr>
      </w:r>
    </w:p>
    <w:p>
      <w:pPr>
        <w:pStyle w:val="T1"/>
        <w:jc w:val="start"/>
        <w:rPr>
          <w:i/>
          <w:i/>
          <w:iCs/>
          <w:lang w:val="nl-NL"/>
        </w:rPr>
      </w:pPr>
      <w:r>
        <w:rPr>
          <w:i/>
          <w:iCs/>
          <w:lang w:val="nl-NL"/>
        </w:rPr>
        <w:t>Eenvoudige zaalkerk uit 2000 met behoud van hal en gedeelte van oude kerk. Modern vormgegeven interieur. Op het dak van het oude gedeelte een klokkensteun.</w:t>
      </w:r>
    </w:p>
    <w:p>
      <w:pPr>
        <w:pStyle w:val="T1"/>
        <w:jc w:val="start"/>
        <w:rPr>
          <w:i/>
          <w:i/>
          <w:iCs/>
          <w:lang w:val="nl-NL"/>
        </w:rPr>
      </w:pPr>
      <w:r>
        <w:rPr>
          <w:i/>
          <w:iCs/>
          <w:lang w:val="nl-NL"/>
        </w:rPr>
      </w:r>
    </w:p>
    <w:p>
      <w:pPr>
        <w:pStyle w:val="T1"/>
        <w:jc w:val="start"/>
        <w:rPr>
          <w:lang w:val="nl-NL"/>
        </w:rPr>
      </w:pPr>
      <w:r>
        <w:rPr>
          <w:lang w:val="nl-NL"/>
        </w:rPr>
        <w:t>Kas: 1867/2008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Eenvoudig uitgevoerd front van drie vlakke, vrijwel gelijke velden. </w:t>
      </w:r>
      <w:r>
        <w:rPr>
          <w:lang w:val="nl-NL"/>
        </w:rPr>
        <w:t>Alle velden bezitten frontpijpen met V-vormig labiumverloop.</w:t>
      </w:r>
    </w:p>
    <w:p>
      <w:pPr>
        <w:pStyle w:val="T2Kunst"/>
        <w:jc w:val="start"/>
        <w:rPr/>
      </w:pPr>
      <w:r>
        <w:rPr/>
        <w:t xml:space="preserve">De hoofdopzet is van 1867. De detaillering is in het kader van de restauratie van 2008 gewijzigd, met als doel een meer harmonieus geheel te verkrijgen. Zo is de middelste horizontale lijst zwaarder uitgevoerd, is de kap verhoogd, en werd boven de frontpijpen ornamentiek in eenvoudige neogotische detaillering aangebracht. </w:t>
      </w:r>
      <w:r>
        <w:rPr>
          <w:lang w:val="nl-NL"/>
        </w:rPr>
        <w:t>De beide stukken in de zijvelden zijn 19e-eeuws en komen uit de voorraad van de restaurateur, het nieuwe middelste stuk is hier van afgeleid. De strengheid van het blokvormig meubel wordt enigszins verzacht door de kantelen die aan drie zijden op de bovenlijst zijn aangebracht.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Notabene</w:t>
      </w:r>
      <w:r>
        <w:rPr>
          <w:iCs/>
          <w:lang w:val="nl-NL"/>
        </w:rPr>
        <w:t>, ../.. (2009), ..</w:t>
      </w:r>
      <w:r>
        <w:rPr>
          <w:lang w:val="nl-NL"/>
        </w:rPr>
        <w:t>.</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F.R. Feenstra.</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William Holt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1867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Churston Ferres, Devon (GB)</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orgel gewijzigd</w:t>
      </w:r>
    </w:p>
    <w:p>
      <w:pPr>
        <w:pStyle w:val="T1"/>
        <w:jc w:val="start"/>
        <w:rPr>
          <w:lang w:val="nl-NL"/>
        </w:rPr>
      </w:pPr>
      <w:r>
        <w:rPr>
          <w:lang w:val="nl-NL"/>
        </w:rPr>
      </w:r>
    </w:p>
    <w:p>
      <w:pPr>
        <w:pStyle w:val="Normal"/>
        <w:autoSpaceDE w:val="false"/>
        <w:rPr>
          <w:rFonts w:ascii="Times New Roman" w:hAnsi="Times New Roman" w:cs="Times New Roman"/>
          <w:szCs w:val="24"/>
        </w:rPr>
      </w:pPr>
      <w:r>
        <w:rPr>
          <w:rFonts w:cs="Times New Roman" w:ascii="Times New Roman" w:hAnsi="Times New Roman"/>
          <w:szCs w:val="24"/>
        </w:rPr>
        <w:t>1967</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orgel verkocht naar Dowlish Wake, Somerset</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mogelijk bij die gelegenheid Choir-bass lade gebouwd ten behoeve uitbreiding registers Open Diapason, Principal en Cornopean</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zwelkast verdiept</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Great, - Sesquialtera, op deze plaats nu pijpwerk Double Diapason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rPr>
      </w:pPr>
      <w:r>
        <w:rPr>
          <w:rFonts w:cs="Times New Roman" w:ascii="Times New Roman" w:hAnsi="Times New Roman"/>
        </w:rPr>
        <w:t>F.R. Feenstra 2008</w:t>
      </w:r>
    </w:p>
    <w:p>
      <w:pPr>
        <w:pStyle w:val="Normal"/>
        <w:numPr>
          <w:ilvl w:val="0"/>
          <w:numId w:val="2"/>
        </w:numPr>
        <w:rPr>
          <w:rFonts w:ascii="Times New Roman" w:hAnsi="Times New Roman" w:cs="Times New Roman"/>
        </w:rPr>
      </w:pPr>
      <w:r>
        <w:rPr>
          <w:rFonts w:cs="Times New Roman" w:ascii="Times New Roman" w:hAnsi="Times New Roman"/>
        </w:rPr>
        <w:t>orgel gerestaureerd en geplaatst te Den Ham, Gereformeerde Kerk Vrijgemaakt</w:t>
      </w:r>
    </w:p>
    <w:p>
      <w:pPr>
        <w:pStyle w:val="Normal"/>
        <w:numPr>
          <w:ilvl w:val="0"/>
          <w:numId w:val="5"/>
        </w:numPr>
        <w:rPr>
          <w:rFonts w:ascii="Times New Roman" w:hAnsi="Times New Roman" w:cs="Times New Roman"/>
        </w:rPr>
      </w:pPr>
      <w:r>
        <w:rPr>
          <w:rFonts w:cs="Times New Roman" w:ascii="Times New Roman" w:hAnsi="Times New Roman"/>
        </w:rPr>
        <w:t>kas van nieuwe middenlijst, kap met tandlijst en snijwerk voorzien en geschilderd in eiken-imitatie; labia frontpijpen verguld</w:t>
      </w:r>
    </w:p>
    <w:p>
      <w:pPr>
        <w:pStyle w:val="Normal"/>
        <w:numPr>
          <w:ilvl w:val="0"/>
          <w:numId w:val="5"/>
        </w:numPr>
        <w:rPr>
          <w:rFonts w:ascii="Times New Roman" w:hAnsi="Times New Roman" w:cs="Times New Roman"/>
        </w:rPr>
      </w:pPr>
      <w:r>
        <w:rPr>
          <w:rFonts w:cs="Times New Roman" w:ascii="Times New Roman" w:hAnsi="Times New Roman"/>
        </w:rPr>
        <w:t>dispositie hersteld en uitgebreid</w:t>
      </w:r>
    </w:p>
    <w:p>
      <w:pPr>
        <w:pStyle w:val="Normal"/>
        <w:numPr>
          <w:ilvl w:val="0"/>
          <w:numId w:val="5"/>
        </w:numPr>
        <w:rPr>
          <w:rFonts w:ascii="Times New Roman" w:hAnsi="Times New Roman" w:cs="Times New Roman"/>
        </w:rPr>
      </w:pPr>
      <w:r>
        <w:rPr>
          <w:rFonts w:cs="Times New Roman" w:ascii="Times New Roman" w:hAnsi="Times New Roman"/>
        </w:rPr>
        <w:t>Choir-bass gehandhaafd</w:t>
      </w:r>
    </w:p>
    <w:p>
      <w:pPr>
        <w:pStyle w:val="Normal"/>
        <w:numPr>
          <w:ilvl w:val="0"/>
          <w:numId w:val="4"/>
        </w:numPr>
        <w:rPr>
          <w:rFonts w:ascii="Times New Roman" w:hAnsi="Times New Roman" w:cs="Times New Roman"/>
        </w:rPr>
      </w:pPr>
      <w:r>
        <w:rPr>
          <w:rFonts w:cs="Times New Roman" w:ascii="Times New Roman" w:hAnsi="Times New Roman"/>
        </w:rPr>
        <w:t>koppeling Swell to Pedal toegevoegd</w:t>
      </w:r>
    </w:p>
    <w:p>
      <w:pPr>
        <w:pStyle w:val="Normal"/>
        <w:numPr>
          <w:ilvl w:val="0"/>
          <w:numId w:val="4"/>
        </w:numPr>
        <w:rPr>
          <w:rFonts w:ascii="Times New Roman" w:hAnsi="Times New Roman" w:cs="Times New Roman"/>
          <w:lang w:val="en-US"/>
        </w:rPr>
      </w:pPr>
      <w:r>
        <w:rPr>
          <w:rFonts w:cs="Times New Roman" w:ascii="Times New Roman" w:hAnsi="Times New Roman"/>
          <w:lang w:val="en-US"/>
        </w:rPr>
        <w:t>Swell + Stopt Diapason 8'</w:t>
      </w:r>
    </w:p>
    <w:p>
      <w:pPr>
        <w:pStyle w:val="T1"/>
        <w:jc w:val="start"/>
        <w:rPr>
          <w:rFonts w:ascii="Times New Roman" w:hAnsi="Times New Roman" w:cs="Times New Roman"/>
          <w:lang w:val="en-US"/>
        </w:rPr>
      </w:pPr>
      <w:r>
        <w:rPr>
          <w:rFonts w:cs="Times New Roman"/>
          <w:lang w:val="en-US"/>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870"/>
        <w:gridCol w:w="720"/>
        <w:gridCol w:w="1980"/>
        <w:gridCol w:w="540"/>
        <w:gridCol w:w="1080"/>
        <w:gridCol w:w="540"/>
      </w:tblGrid>
      <w:tr>
        <w:trPr/>
        <w:tc>
          <w:tcPr>
            <w:tcW w:w="1870" w:type="dxa"/>
            <w:tcBorders/>
          </w:tcPr>
          <w:p>
            <w:pPr>
              <w:pStyle w:val="T4dispositie"/>
              <w:rPr>
                <w:i/>
                <w:i/>
                <w:iCs/>
                <w:lang w:val="nl-NL"/>
              </w:rPr>
            </w:pPr>
            <w:r>
              <w:rPr>
                <w:i/>
                <w:iCs/>
                <w:lang w:val="nl-NL"/>
              </w:rPr>
              <w:t>Great Organ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Stopt Diapason B/D</w:t>
            </w:r>
          </w:p>
          <w:p>
            <w:pPr>
              <w:pStyle w:val="T4dispositie"/>
              <w:rPr>
                <w:lang w:val="nl-NL"/>
              </w:rPr>
            </w:pPr>
            <w:r>
              <w:rPr>
                <w:lang w:val="nl-NL"/>
              </w:rPr>
              <w:t>Keraulophon</w:t>
            </w:r>
          </w:p>
          <w:p>
            <w:pPr>
              <w:pStyle w:val="T4dispositie"/>
              <w:rPr>
                <w:lang w:val="nl-NL"/>
              </w:rPr>
            </w:pPr>
            <w:r>
              <w:rPr>
                <w:lang w:val="nl-NL"/>
              </w:rPr>
              <w:t>Principal</w:t>
            </w:r>
          </w:p>
          <w:p>
            <w:pPr>
              <w:pStyle w:val="T4dispositie"/>
              <w:rPr>
                <w:lang w:val="nl-NL"/>
              </w:rPr>
            </w:pPr>
            <w:r>
              <w:rPr>
                <w:lang w:val="nl-NL"/>
              </w:rPr>
              <w:t>Flute</w:t>
            </w:r>
          </w:p>
          <w:p>
            <w:pPr>
              <w:pStyle w:val="T4dispositie"/>
              <w:rPr>
                <w:lang w:val="nl-NL"/>
              </w:rPr>
            </w:pPr>
            <w:r>
              <w:rPr>
                <w:lang w:val="nl-NL"/>
              </w:rPr>
              <w:t>Fifteenth</w:t>
            </w:r>
          </w:p>
          <w:p>
            <w:pPr>
              <w:pStyle w:val="T4dispositie"/>
              <w:rPr>
                <w:lang w:val="nl-NL"/>
              </w:rPr>
            </w:pPr>
            <w:r>
              <w:rPr>
                <w:lang w:val="nl-NL"/>
              </w:rPr>
              <w:t>Sesquialtra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2-3 r.</w:t>
            </w:r>
          </w:p>
        </w:tc>
        <w:tc>
          <w:tcPr>
            <w:tcW w:w="1980" w:type="dxa"/>
            <w:tcBorders/>
          </w:tcPr>
          <w:p>
            <w:pPr>
              <w:pStyle w:val="T4dispositie"/>
              <w:rPr>
                <w:i/>
                <w:i/>
                <w:iCs/>
                <w:lang w:val="nl-NL"/>
              </w:rPr>
            </w:pPr>
            <w:r>
              <w:rPr>
                <w:i/>
                <w:iCs/>
                <w:lang w:val="nl-NL"/>
              </w:rPr>
              <w:t>Swell Organ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Double Diapason</w:t>
            </w:r>
          </w:p>
          <w:p>
            <w:pPr>
              <w:pStyle w:val="T4dispositie"/>
              <w:rPr>
                <w:lang w:val="nl-NL"/>
              </w:rPr>
            </w:pPr>
            <w:r>
              <w:rPr>
                <w:lang w:val="nl-NL"/>
              </w:rPr>
              <w:t>Open Diapason</w:t>
            </w:r>
          </w:p>
          <w:p>
            <w:pPr>
              <w:pStyle w:val="T4dispositie"/>
              <w:rPr>
                <w:lang w:val="nl-NL"/>
              </w:rPr>
            </w:pPr>
            <w:r>
              <w:rPr>
                <w:lang w:val="nl-NL"/>
              </w:rPr>
              <w:t>Stopt Diapason</w:t>
            </w:r>
          </w:p>
          <w:p>
            <w:pPr>
              <w:pStyle w:val="T4dispositie"/>
              <w:rPr>
                <w:lang w:val="nl-NL"/>
              </w:rPr>
            </w:pPr>
            <w:r>
              <w:rPr>
                <w:lang w:val="nl-NL"/>
              </w:rPr>
              <w:t>Principal</w:t>
            </w:r>
          </w:p>
          <w:p>
            <w:pPr>
              <w:pStyle w:val="T4dispositie"/>
              <w:rPr>
                <w:lang w:val="nl-NL"/>
              </w:rPr>
            </w:pPr>
            <w:r>
              <w:rPr>
                <w:lang w:val="nl-NL"/>
              </w:rPr>
              <w:t>Cornopean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r>
              <w:rPr/>
              <w:t>'</w:t>
            </w:r>
          </w:p>
        </w:tc>
        <w:tc>
          <w:tcPr>
            <w:tcW w:w="1080" w:type="dxa"/>
            <w:tcBorders/>
          </w:tcPr>
          <w:p>
            <w:pPr>
              <w:pStyle w:val="T4dispositie"/>
              <w:rPr>
                <w:i/>
                <w:i/>
                <w:iCs/>
                <w:lang w:val="nl-NL"/>
              </w:rPr>
            </w:pPr>
            <w:r>
              <w:rPr>
                <w:i/>
                <w:iCs/>
                <w:lang w:val="nl-NL"/>
              </w:rPr>
              <w:t>Pedal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trigger swell</w:t>
      </w:r>
    </w:p>
    <w:p>
      <w:pPr>
        <w:pStyle w:val="T1"/>
        <w:jc w:val="start"/>
        <w:rPr>
          <w:lang w:val="nl-NL"/>
        </w:rPr>
      </w:pPr>
      <w:r>
        <w:rPr>
          <w:lang w:val="nl-NL"/>
        </w:rPr>
      </w:r>
    </w:p>
    <w:p>
      <w:pPr>
        <w:pStyle w:val="T1"/>
        <w:jc w:val="start"/>
        <w:rPr>
          <w:lang w:val="nl-NL"/>
        </w:rPr>
      </w:pPr>
      <w:r>
        <w:rPr>
          <w:lang w:val="nl-NL"/>
        </w:rPr>
        <w:t>Samenstelling vulstem</w:t>
      </w:r>
    </w:p>
    <w:tbl>
      <w:tblPr>
        <w:tblW w:w="3416" w:type="dxa"/>
        <w:jc w:val="start"/>
        <w:tblInd w:w="-70" w:type="dxa"/>
        <w:tblLayout w:type="fixed"/>
        <w:tblCellMar>
          <w:top w:w="0" w:type="dxa"/>
          <w:start w:w="70" w:type="dxa"/>
          <w:bottom w:w="0" w:type="dxa"/>
          <w:end w:w="70" w:type="dxa"/>
        </w:tblCellMar>
      </w:tblPr>
      <w:tblGrid>
        <w:gridCol w:w="1969"/>
        <w:gridCol w:w="718"/>
        <w:gridCol w:w="729"/>
      </w:tblGrid>
      <w:tr>
        <w:trPr/>
        <w:tc>
          <w:tcPr>
            <w:tcW w:w="1969" w:type="dxa"/>
            <w:tcBorders/>
          </w:tcPr>
          <w:p>
            <w:pPr>
              <w:pStyle w:val="T1"/>
              <w:jc w:val="start"/>
              <w:rPr>
                <w:lang w:val="nl-NL"/>
              </w:rPr>
            </w:pPr>
            <w:r>
              <w:rPr>
                <w:lang w:val="nl-NL"/>
              </w:rPr>
              <w:t>Sesquialtera</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1/7 komma naar ontwerp Feenstra</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C-e</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pPr>
      <w:r>
        <w:rPr>
          <w:lang w:val="nl-NL"/>
        </w:rPr>
        <w:t xml:space="preserve">Dit instrument is gebouwd door William Holt in 1867, als gift van de first lady Churston, voor de kerk van Churston Ferrers, Devon (GB). De naam van de bouwer is gevonden op stroken papier die op de dammen waren geplakt. Deze waren bedrukt met aanbevelingen van onder andere Samuel Sebastian Wesley met betrekking tot </w:t>
      </w:r>
      <w:r>
        <w:rPr>
          <w:i/>
          <w:iCs/>
          <w:lang w:val="nl-NL"/>
        </w:rPr>
        <w:t>improvements</w:t>
      </w:r>
      <w:r>
        <w:rPr>
          <w:lang w:val="nl-NL"/>
        </w:rPr>
        <w:t xml:space="preserve"> op het gebied van pedaal-tongwerken en het toucher van de manualen (</w:t>
      </w:r>
      <w:r>
        <w:rPr>
          <w:i/>
          <w:iCs/>
          <w:lang w:val="nl-NL"/>
        </w:rPr>
        <w:t>Jointed Pallet</w:t>
      </w:r>
      <w:r>
        <w:rPr>
          <w:lang w:val="nl-NL"/>
        </w:rPr>
        <w:t>, gepatenteerd in 1849). Dat William Holt inderdaad de bouwer is van het instrument, werd bevestigd na een onderzoek van de archieven van de kerk van Churston Ferrers. Holt gebruikte een oudere Great-lade, aangezien het oorspronkelijk een contra-G lade is geweest waarvan nu vier cancellen zijn dichtgezet. Ook aan de Swell lade (omvang vanaf klein-c) is een verbouwing uitgevoerd waarvan de datering onbekend is.</w:t>
      </w:r>
    </w:p>
    <w:p>
      <w:pPr>
        <w:pStyle w:val="T1"/>
        <w:jc w:val="start"/>
        <w:rPr/>
      </w:pPr>
      <w:r>
        <w:rPr>
          <w:lang w:val="nl-NL"/>
        </w:rPr>
        <w:t xml:space="preserve">In 1967 is het orgel verkocht aan de kerk van Dowlish Wake (Somerset). Mogelijk is er bij die gelegenheid een </w:t>
      </w:r>
      <w:r>
        <w:rPr>
          <w:i/>
          <w:iCs/>
          <w:lang w:val="nl-NL"/>
        </w:rPr>
        <w:t xml:space="preserve">Choir-bass </w:t>
      </w:r>
      <w:r>
        <w:rPr>
          <w:lang w:val="nl-NL"/>
        </w:rPr>
        <w:t>lade gebouwd met bas-pijpen voor de Open Diapason (uitgevoerd als stopt), Principal en Cornopean. Bas-pijpen voor de Cornopean waren echter niet aanwezig. De bas-lade was geplaatst achter de Swell-lade, waarbij de Swell-box was verdiept. De Sesquialtra was verdwenen. In plaats daarvan had men het pijpwerk van de Double Diapason als tweede 8-voets Open Diapason op het Great geplaatst.</w:t>
      </w:r>
    </w:p>
    <w:p>
      <w:pPr>
        <w:pStyle w:val="T1"/>
        <w:jc w:val="start"/>
        <w:rPr/>
      </w:pPr>
      <w:r>
        <w:rPr>
          <w:lang w:val="nl-NL"/>
        </w:rPr>
        <w:t xml:space="preserve">Bij de laatste restauratie is de oorspronkelijke dispositie hersteld, en werd het Swell uitgebreid met een Stopt Diapason (evenals bij het Great uitgevoerd als metalen Roerfluit met dichtgesoldeerde hoeden). De toegevoegde </w:t>
      </w:r>
      <w:r>
        <w:rPr>
          <w:i/>
          <w:iCs/>
          <w:lang w:val="nl-NL"/>
        </w:rPr>
        <w:t>Choir-bass</w:t>
      </w:r>
      <w:r>
        <w:rPr>
          <w:lang w:val="nl-NL"/>
        </w:rPr>
        <w:t xml:space="preserve"> bleef gehandhaafd. Tevens werd er een koppel Swell to Pedal toegevoegd. De grootste octaven van de Stopt Diapason en de Double Diapason zijn uitgevoerd als transmissie.</w:t>
      </w:r>
    </w:p>
    <w:p>
      <w:pPr>
        <w:pStyle w:val="T1"/>
        <w:jc w:val="start"/>
        <w:rPr>
          <w:lang w:val="nl-NL"/>
        </w:rPr>
      </w:pPr>
      <w:r>
        <w:rPr>
          <w:lang w:val="nl-NL"/>
        </w:rPr>
        <w:t>De magazijnbalg (met in- en uitspringende vouw) bevindt zich in de onderkas.</w:t>
      </w:r>
    </w:p>
    <w:p>
      <w:pPr>
        <w:pStyle w:val="T1"/>
        <w:jc w:val="start"/>
        <w:rPr>
          <w:lang w:val="nl-NL"/>
        </w:rPr>
      </w:pPr>
      <w:r>
        <w:rPr>
          <w:lang w:val="nl-NL"/>
        </w:rPr>
        <w:t>De registertrekkers (naamplaatjes op de voorkant van de knoppen) zijn verticaal links en rechts van de muziekbak geplaatst; ook de koppelingen worden bediend met registerknoppen. Windlades: Great en Swell liggen achter elkaar (Swell ongeveer 60 cm hoger), van elkaar gescheiden door een stemgang. De pedaalpijpen C-H zijn tegen de linker zijwand geplaatst, de rest tegen de rechter zijwand.</w:t>
      </w:r>
    </w:p>
    <w:p>
      <w:pPr>
        <w:pStyle w:val="T1"/>
        <w:jc w:val="start"/>
        <w:rPr/>
      </w:pPr>
      <w:r>
        <w:rPr>
          <w:lang w:val="nl-NL"/>
        </w:rPr>
        <w:t>Indeling windlade Great (van voren gezien): CDEFis GisBH, c- f</w:t>
      </w:r>
      <w:r>
        <w:rPr>
          <w:vertAlign w:val="superscript"/>
          <w:lang w:val="nl-NL"/>
        </w:rPr>
        <w:t>3</w:t>
      </w:r>
      <w:r>
        <w:rPr>
          <w:lang w:val="nl-NL"/>
        </w:rPr>
        <w:t>, CisDis FGA. Indeling Swell: diatonisch naar beide kanten in hele tonen aflopend. De Choir bass-lade is aangebouwd tegen de achterkant van de windlade van Swell en heeft een eigen ventielkast.</w:t>
      </w:r>
    </w:p>
    <w:p>
      <w:pPr>
        <w:pStyle w:val="T1"/>
        <w:jc w:val="start"/>
        <w:rPr>
          <w:lang w:val="nl-NL"/>
        </w:rPr>
      </w:pPr>
      <w:r>
        <w:rPr>
          <w:lang w:val="nl-NL"/>
        </w:rPr>
        <w:t>C-Fis van de Open Diapason (Great) zijn van hout, open. G-g staan in het front, het vervolg staat op de lade (met stemringen). C-h van de Stopped Diapason 8' zijn van Weymouth-pine, gedekt; de discant is uitgevoerd als roerfluit (metaal). De Keraulophon 8' begint op c en is geheel van metaal met stemringen. C-Fis van de Principal 4' staan in het front, het vervolg staat op de lade (met stemringen). De Flute 4' begint op c en is geheel van hout (open) met metalen stemkleppen. De Fifteenth is van metaal met stemringen. De Sesquialtra is een reconstructie met gebruikmaking van bestaand pijpwerk.</w:t>
      </w:r>
    </w:p>
    <w:p>
      <w:pPr>
        <w:pStyle w:val="T1"/>
        <w:jc w:val="start"/>
        <w:rPr>
          <w:lang w:val="nl-NL"/>
        </w:rPr>
      </w:pPr>
      <w:r>
        <w:rPr>
          <w:lang w:val="nl-NL"/>
        </w:rPr>
        <w:t>De Double Diapason 16' (Swell) begint op c, maar is van c-h gecombineerd met C-H van de Stopped Diapason 8'. De discant is van metaal, open met stemringen. C-H van de Open Diapason 8' zijn van hout, gedekt, het vervolg is van metaal, open met stemringen. De Stopped Diapason 8' is van C-h van hout, gedekt; het vervolg is van metaal, uitgevoerd als roerfluit. De Principal 4' is van metaal met stemringen. De Cornopean 8' heeft metalen stevels. De Pedal-Bourdon is van hout,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2010-03-15T23:20:00Z</dcterms:created>
  <dc:creator>WS1</dc:creator>
  <dc:description/>
  <dc:language>en-US</dc:language>
  <cp:lastModifiedBy>Hans</cp:lastModifiedBy>
  <dcterms:modified xsi:type="dcterms:W3CDTF">2010-03-15T23:20:00Z</dcterms:modified>
  <cp:revision>2</cp:revision>
  <dc:subject/>
  <dc:title>Almkerk / 1877</dc:title>
</cp:coreProperties>
</file>