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60"/>
        <w:ind w:start="0" w:hanging="0"/>
        <w:rPr/>
      </w:pPr>
      <w:r>
        <w:rPr/>
        <w:t>Rijssen / 1870</w:t>
      </w:r>
    </w:p>
    <w:p>
      <w:pPr>
        <w:pStyle w:val="Heading2"/>
        <w:numPr>
          <w:ilvl w:val="0"/>
          <w:numId w:val="0"/>
        </w:numPr>
        <w:ind w:start="0" w:hanging="0"/>
        <w:rPr>
          <w:i w:val="false"/>
          <w:i w:val="false"/>
          <w:iCs/>
        </w:rPr>
      </w:pPr>
      <w:r>
        <w:rPr>
          <w:i w:val="false"/>
          <w:iCs/>
        </w:rPr>
        <w:t>De Hoeksteen</w:t>
      </w:r>
    </w:p>
    <w:p>
      <w:pPr>
        <w:pStyle w:val="T1"/>
        <w:jc w:val="start"/>
        <w:rPr>
          <w:i/>
          <w:i/>
          <w:iCs/>
          <w:lang w:val="nl-NL"/>
        </w:rPr>
      </w:pPr>
      <w:r>
        <w:rPr>
          <w:i/>
          <w:iCs/>
          <w:lang w:val="nl-NL"/>
        </w:rPr>
      </w:r>
    </w:p>
    <w:p>
      <w:pPr>
        <w:pStyle w:val="T1"/>
        <w:jc w:val="start"/>
        <w:rPr>
          <w:i/>
          <w:i/>
          <w:iCs/>
          <w:lang w:val="nl-NL"/>
        </w:rPr>
      </w:pPr>
      <w:r>
        <w:rPr>
          <w:i/>
          <w:iCs/>
          <w:lang w:val="nl-NL"/>
        </w:rPr>
        <w:t>Kerkzaal uit 1991 omgeven door iets oudere nevenruimten.</w:t>
      </w:r>
    </w:p>
    <w:p>
      <w:pPr>
        <w:pStyle w:val="T1"/>
        <w:jc w:val="start"/>
        <w:rPr>
          <w:i/>
          <w:i/>
          <w:iCs/>
          <w:lang w:val="nl-NL"/>
        </w:rPr>
      </w:pPr>
      <w:r>
        <w:rPr>
          <w:i/>
          <w:iCs/>
          <w:lang w:val="nl-NL"/>
        </w:rPr>
      </w:r>
    </w:p>
    <w:p>
      <w:pPr>
        <w:pStyle w:val="T1"/>
        <w:jc w:val="start"/>
        <w:rPr>
          <w:lang w:val="nl-NL"/>
        </w:rPr>
      </w:pPr>
      <w:r>
        <w:rPr>
          <w:lang w:val="nl-NL"/>
        </w:rPr>
        <w:t>Kas: 1870</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Kunsthistorische aspecten</w:t>
      </w:r>
    </w:p>
    <w:p>
      <w:pPr>
        <w:pStyle w:val="T2Kunst"/>
        <w:jc w:val="start"/>
        <w:rPr>
          <w:lang w:val="nl-NL"/>
        </w:rPr>
      </w:pPr>
      <w:r>
        <w:rPr>
          <w:lang w:val="nl-NL"/>
        </w:rPr>
        <w:t>Het regelmatige patroon van relatief smalle, verdiepte panelen doorbreekt doelmatig de eenvoud van deze kas. Het stijl- en regelwerk van de panelen aan de frontzijde en de zijkanten is ‘verzacht’ met biljoenen. Dit verschaft de panelen een speels effect. Subtiel zijn ook de bescheiden pinakels op de vier hoekstijlen van de kas. Ten slotte is de bovenregel in het front van eenvoudige versiering voorzien. Door deze elementen en de sterke tekening van het hout wordt de aanblik van het orgel in zijn huidige staat bijna sterker door de kas zelf bepaald dan door het frontpijpwerk. Oorspronkelijk was het frontpijpwerk bont beschilderd.</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bCs/>
          <w:i/>
          <w:iCs/>
          <w:lang w:val="nl-NL"/>
        </w:rPr>
        <w:t>De Orgelkrant</w:t>
      </w:r>
      <w:r>
        <w:rPr>
          <w:bCs/>
          <w:lang w:val="nl-NL"/>
        </w:rPr>
        <w:t>, 11/1 (2006), 13.</w:t>
      </w:r>
    </w:p>
    <w:p>
      <w:pPr>
        <w:pStyle w:val="T3Lit"/>
        <w:jc w:val="start"/>
        <w:rPr/>
      </w:pPr>
      <w:r>
        <w:rPr>
          <w:bCs/>
          <w:i/>
          <w:iCs/>
          <w:lang w:val="nl-NL"/>
        </w:rPr>
        <w:t>De Orgelvriend</w:t>
      </w:r>
      <w:r>
        <w:rPr>
          <w:bCs/>
          <w:lang w:val="nl-NL"/>
        </w:rPr>
        <w:t>, 48/3 (2006), 15.</w:t>
      </w:r>
    </w:p>
    <w:p>
      <w:pPr>
        <w:pStyle w:val="T3Lit"/>
        <w:jc w:val="start"/>
        <w:rPr>
          <w:bCs/>
          <w:lang w:val="nl-NL"/>
        </w:rPr>
      </w:pPr>
      <w:r>
        <w:rPr>
          <w:bCs/>
          <w:lang w:val="nl-NL"/>
        </w:rPr>
      </w:r>
    </w:p>
    <w:p>
      <w:pPr>
        <w:pStyle w:val="Heading2"/>
        <w:numPr>
          <w:ilvl w:val="0"/>
          <w:numId w:val="0"/>
        </w:numPr>
        <w:ind w:start="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C.M. Fleetwood</w:t>
      </w:r>
    </w:p>
    <w:p>
      <w:pPr>
        <w:pStyle w:val="T1"/>
        <w:jc w:val="start"/>
        <w:rPr>
          <w:lang w:val="nl-NL"/>
        </w:rPr>
      </w:pPr>
      <w:r>
        <w:rPr>
          <w:lang w:val="nl-NL"/>
        </w:rPr>
      </w:r>
    </w:p>
    <w:p>
      <w:pPr>
        <w:pStyle w:val="T1"/>
        <w:jc w:val="start"/>
        <w:rPr>
          <w:lang w:val="nl-NL"/>
        </w:rPr>
      </w:pPr>
      <w:r>
        <w:rPr>
          <w:lang w:val="nl-NL"/>
        </w:rPr>
        <w:t>Jaar van oplevering</w:t>
      </w:r>
    </w:p>
    <w:p>
      <w:pPr>
        <w:pStyle w:val="T1"/>
        <w:rPr>
          <w:lang w:val="nl-NL"/>
        </w:rPr>
      </w:pPr>
      <w:r>
        <w:rPr>
          <w:lang w:val="nl-NL"/>
        </w:rPr>
        <w:t>1870</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onbekend</w:t>
      </w:r>
    </w:p>
    <w:p>
      <w:pPr>
        <w:pStyle w:val="T1"/>
        <w:rPr>
          <w:lang w:val="nl-NL"/>
        </w:rPr>
      </w:pPr>
      <w:r>
        <w:rPr>
          <w:lang w:val="nl-NL"/>
        </w:rPr>
      </w:r>
    </w:p>
    <w:p>
      <w:pPr>
        <w:pStyle w:val="T1"/>
        <w:rPr>
          <w:lang w:val="nl-NL"/>
        </w:rPr>
      </w:pPr>
      <w:r>
        <w:rPr>
          <w:lang w:val="nl-NL"/>
        </w:rPr>
        <w:t>Onbekend moment</w:t>
      </w:r>
    </w:p>
    <w:p>
      <w:pPr>
        <w:pStyle w:val="T1"/>
        <w:numPr>
          <w:ilvl w:val="0"/>
          <w:numId w:val="2"/>
        </w:numPr>
        <w:rPr>
          <w:lang w:val="nl-NL"/>
        </w:rPr>
      </w:pPr>
      <w:r>
        <w:rPr>
          <w:lang w:val="nl-NL"/>
        </w:rPr>
        <w:t>orgel verkocht</w:t>
      </w:r>
    </w:p>
    <w:p>
      <w:pPr>
        <w:pStyle w:val="T1"/>
        <w:rPr>
          <w:lang w:val="nl-NL"/>
        </w:rPr>
      </w:pPr>
      <w:r>
        <w:rPr>
          <w:lang w:val="nl-NL"/>
        </w:rPr>
      </w:r>
    </w:p>
    <w:p>
      <w:pPr>
        <w:pStyle w:val="T1"/>
        <w:rPr>
          <w:lang w:val="nl-NL"/>
        </w:rPr>
      </w:pPr>
      <w:r>
        <w:rPr>
          <w:lang w:val="nl-NL"/>
        </w:rPr>
        <w:t>Ide Boogaard 2003</w:t>
      </w:r>
    </w:p>
    <w:p>
      <w:pPr>
        <w:pStyle w:val="T1"/>
        <w:numPr>
          <w:ilvl w:val="0"/>
          <w:numId w:val="2"/>
        </w:numPr>
        <w:rPr>
          <w:lang w:val="nl-NL"/>
        </w:rPr>
      </w:pPr>
      <w:r>
        <w:rPr>
          <w:lang w:val="nl-NL"/>
        </w:rPr>
        <w:t>orgel geplaatst te Beekbergen, Hervormde Kerk</w:t>
      </w:r>
    </w:p>
    <w:p>
      <w:pPr>
        <w:pStyle w:val="T1"/>
        <w:rPr>
          <w:lang w:val="nl-NL"/>
        </w:rPr>
      </w:pPr>
      <w:r>
        <w:rPr>
          <w:lang w:val="nl-NL"/>
        </w:rPr>
      </w:r>
    </w:p>
    <w:p>
      <w:pPr>
        <w:pStyle w:val="T1"/>
        <w:rPr>
          <w:lang w:val="nl-NL"/>
        </w:rPr>
      </w:pPr>
      <w:r>
        <w:rPr>
          <w:lang w:val="nl-NL"/>
        </w:rPr>
        <w:t>Ide Boogaard 2005</w:t>
      </w:r>
    </w:p>
    <w:p>
      <w:pPr>
        <w:pStyle w:val="T1"/>
        <w:numPr>
          <w:ilvl w:val="0"/>
          <w:numId w:val="2"/>
        </w:numPr>
        <w:rPr>
          <w:lang w:val="nl-NL"/>
        </w:rPr>
      </w:pPr>
      <w:r>
        <w:rPr>
          <w:lang w:val="nl-NL"/>
        </w:rPr>
        <w:t>orgel overgeplaatst naar Rijssen, de Hoeksteen</w:t>
      </w:r>
    </w:p>
    <w:p>
      <w:pPr>
        <w:pStyle w:val="T1"/>
        <w:rPr>
          <w:lang w:val="nl-NL"/>
        </w:rPr>
      </w:pPr>
      <w:r>
        <w:rPr>
          <w:lang w:val="nl-NL"/>
        </w:rPr>
      </w:r>
    </w:p>
    <w:p>
      <w:pPr>
        <w:pStyle w:val="T1"/>
        <w:rPr>
          <w:lang w:val="nl-NL"/>
        </w:rPr>
      </w:pPr>
      <w:r>
        <w:rPr>
          <w:lang w:val="nl-NL"/>
        </w:rPr>
        <w:t>Ide Boogaard 2006</w:t>
      </w:r>
    </w:p>
    <w:p>
      <w:pPr>
        <w:pStyle w:val="T1"/>
        <w:numPr>
          <w:ilvl w:val="0"/>
          <w:numId w:val="2"/>
        </w:numPr>
        <w:rPr>
          <w:lang w:val="nl-NL"/>
        </w:rPr>
      </w:pPr>
      <w:r>
        <w:rPr>
          <w:lang w:val="nl-NL"/>
        </w:rPr>
        <w:t>Great + Cornopean 8'</w:t>
      </w:r>
    </w:p>
    <w:p>
      <w:pPr>
        <w:pStyle w:val="T1"/>
        <w:rPr>
          <w:lang w:val="nl-NL"/>
        </w:rPr>
      </w:pPr>
      <w:r>
        <w:rPr>
          <w:lang w:val="nl-NL"/>
        </w:rPr>
      </w:r>
    </w:p>
    <w:p>
      <w:pPr>
        <w:pStyle w:val="Heading2"/>
        <w:numPr>
          <w:ilvl w:val="0"/>
          <w:numId w:val="0"/>
        </w:numPr>
        <w:ind w:start="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pPr>
      <w:r>
        <w:rPr/>
        <w:t>Werkindeling</w:t>
      </w:r>
    </w:p>
    <w:p>
      <w:pPr>
        <w:pStyle w:val="T1"/>
        <w:jc w:val="start"/>
        <w:rPr/>
      </w:pPr>
      <w:r>
        <w:rPr/>
        <w:t>great, swell, pedal</w:t>
      </w:r>
    </w:p>
    <w:p>
      <w:pPr>
        <w:pStyle w:val="T1"/>
        <w:jc w:val="start"/>
        <w:rPr/>
      </w:pPr>
      <w:r>
        <w:rPr/>
      </w:r>
    </w:p>
    <w:p>
      <w:pPr>
        <w:pStyle w:val="T1"/>
        <w:jc w:val="start"/>
        <w:rPr/>
      </w:pPr>
      <w:r>
        <w:rPr/>
        <w:t>Dispositie</w:t>
      </w:r>
    </w:p>
    <w:tbl>
      <w:tblPr>
        <w:tblW w:w="5854" w:type="dxa"/>
        <w:jc w:val="start"/>
        <w:tblInd w:w="-70" w:type="dxa"/>
        <w:tblLayout w:type="fixed"/>
        <w:tblCellMar>
          <w:top w:w="0" w:type="dxa"/>
          <w:start w:w="70" w:type="dxa"/>
          <w:bottom w:w="0" w:type="dxa"/>
          <w:end w:w="70" w:type="dxa"/>
        </w:tblCellMar>
      </w:tblPr>
      <w:tblGrid>
        <w:gridCol w:w="1346"/>
        <w:gridCol w:w="604"/>
        <w:gridCol w:w="1522"/>
        <w:gridCol w:w="428"/>
        <w:gridCol w:w="1131"/>
        <w:gridCol w:w="823"/>
      </w:tblGrid>
      <w:tr>
        <w:trPr/>
        <w:tc>
          <w:tcPr>
            <w:tcW w:w="1346" w:type="dxa"/>
            <w:tcBorders/>
          </w:tcPr>
          <w:p>
            <w:pPr>
              <w:pStyle w:val="T4dispositie"/>
              <w:snapToGrid w:val="false"/>
              <w:rPr>
                <w:i/>
                <w:i/>
                <w:iCs/>
              </w:rPr>
            </w:pPr>
            <w:r>
              <w:rPr>
                <w:i/>
                <w:iCs/>
              </w:rPr>
              <w:t>Great (I)</w:t>
            </w:r>
          </w:p>
          <w:p>
            <w:pPr>
              <w:pStyle w:val="T4dispositie"/>
              <w:snapToGrid w:val="false"/>
              <w:rPr/>
            </w:pPr>
            <w:r>
              <w:rPr/>
              <w:t>9 stemmen</w:t>
            </w:r>
          </w:p>
          <w:p>
            <w:pPr>
              <w:pStyle w:val="T4dispositie"/>
              <w:snapToGrid w:val="false"/>
              <w:rPr>
                <w:i/>
                <w:i/>
                <w:iCs/>
              </w:rPr>
            </w:pPr>
            <w:r>
              <w:rPr>
                <w:i/>
                <w:iCs/>
              </w:rPr>
            </w:r>
          </w:p>
          <w:p>
            <w:pPr>
              <w:pStyle w:val="T4dispositie"/>
              <w:rPr/>
            </w:pPr>
            <w:r>
              <w:rPr/>
              <w:t>Open Diapason</w:t>
            </w:r>
          </w:p>
          <w:p>
            <w:pPr>
              <w:pStyle w:val="T4dispositie"/>
              <w:rPr/>
            </w:pPr>
            <w:r>
              <w:rPr/>
              <w:t>Dulciana</w:t>
            </w:r>
          </w:p>
          <w:p>
            <w:pPr>
              <w:pStyle w:val="T4dispositie"/>
              <w:rPr/>
            </w:pPr>
            <w:r>
              <w:rPr/>
              <w:t>Stop Bass</w:t>
            </w:r>
          </w:p>
          <w:p>
            <w:pPr>
              <w:pStyle w:val="T4dispositie"/>
              <w:rPr/>
            </w:pPr>
            <w:r>
              <w:rPr/>
              <w:t>Stopped Treble</w:t>
            </w:r>
          </w:p>
          <w:p>
            <w:pPr>
              <w:pStyle w:val="T4dispositie"/>
              <w:rPr/>
            </w:pPr>
            <w:r>
              <w:rPr/>
              <w:t>Gamba</w:t>
            </w:r>
          </w:p>
          <w:p>
            <w:pPr>
              <w:pStyle w:val="T4dispositie"/>
              <w:rPr/>
            </w:pPr>
            <w:r>
              <w:rPr/>
              <w:t>Principal</w:t>
            </w:r>
          </w:p>
          <w:p>
            <w:pPr>
              <w:pStyle w:val="T4dispositie"/>
              <w:rPr/>
            </w:pPr>
            <w:r>
              <w:rPr/>
              <w:t>Flute</w:t>
            </w:r>
          </w:p>
          <w:p>
            <w:pPr>
              <w:pStyle w:val="T4dispositie"/>
              <w:rPr/>
            </w:pPr>
            <w:r>
              <w:rPr/>
              <w:t>Fifteenth</w:t>
            </w:r>
          </w:p>
          <w:p>
            <w:pPr>
              <w:pStyle w:val="T4dispositie"/>
              <w:rPr/>
            </w:pPr>
            <w:r>
              <w:rPr/>
              <w:t>Cornopean</w:t>
            </w:r>
          </w:p>
        </w:tc>
        <w:tc>
          <w:tcPr>
            <w:tcW w:w="604" w:type="dxa"/>
            <w:tcBorders/>
          </w:tcPr>
          <w:p>
            <w:pPr>
              <w:pStyle w:val="T4dispositie"/>
              <w:snapToGrid w:val="false"/>
              <w:rPr/>
            </w:pPr>
            <w:r>
              <w:rPr/>
            </w:r>
          </w:p>
          <w:p>
            <w:pPr>
              <w:pStyle w:val="T4dispositie"/>
              <w:snapToGrid w:val="false"/>
              <w:rPr/>
            </w:pPr>
            <w:r>
              <w:rPr/>
            </w:r>
          </w:p>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8</w:t>
            </w:r>
          </w:p>
        </w:tc>
        <w:tc>
          <w:tcPr>
            <w:tcW w:w="1522" w:type="dxa"/>
            <w:tcBorders/>
          </w:tcPr>
          <w:p>
            <w:pPr>
              <w:pStyle w:val="T4dispositie"/>
              <w:snapToGrid w:val="false"/>
              <w:rPr>
                <w:i/>
                <w:i/>
                <w:iCs/>
              </w:rPr>
            </w:pPr>
            <w:r>
              <w:rPr>
                <w:i/>
                <w:iCs/>
              </w:rPr>
              <w:t>Swell (II)</w:t>
            </w:r>
          </w:p>
          <w:p>
            <w:pPr>
              <w:pStyle w:val="T4dispositie"/>
              <w:snapToGrid w:val="false"/>
              <w:rPr/>
            </w:pPr>
            <w:r>
              <w:rPr/>
              <w:t>7 stemmen</w:t>
            </w:r>
          </w:p>
          <w:p>
            <w:pPr>
              <w:pStyle w:val="T4dispositie"/>
              <w:snapToGrid w:val="false"/>
              <w:rPr>
                <w:i/>
                <w:i/>
                <w:iCs/>
              </w:rPr>
            </w:pPr>
            <w:r>
              <w:rPr>
                <w:i/>
                <w:iCs/>
              </w:rPr>
            </w:r>
          </w:p>
          <w:p>
            <w:pPr>
              <w:pStyle w:val="T4dispositie"/>
              <w:snapToGrid w:val="false"/>
              <w:rPr/>
            </w:pPr>
            <w:r>
              <w:rPr/>
              <w:t>Double</w:t>
            </w:r>
          </w:p>
          <w:p>
            <w:pPr>
              <w:pStyle w:val="T4dispositie"/>
              <w:snapToGrid w:val="false"/>
              <w:rPr/>
            </w:pPr>
            <w:r>
              <w:rPr/>
              <w:t>Open Diapason</w:t>
            </w:r>
          </w:p>
          <w:p>
            <w:pPr>
              <w:pStyle w:val="T4dispositie"/>
              <w:snapToGrid w:val="false"/>
              <w:rPr/>
            </w:pPr>
            <w:r>
              <w:rPr/>
              <w:t>Stopped Bass</w:t>
            </w:r>
          </w:p>
          <w:p>
            <w:pPr>
              <w:pStyle w:val="T4dispositie"/>
              <w:snapToGrid w:val="false"/>
              <w:rPr>
                <w:lang w:val="nl-NL"/>
              </w:rPr>
            </w:pPr>
            <w:r>
              <w:rPr>
                <w:lang w:val="nl-NL"/>
              </w:rPr>
              <w:t>Gedact</w:t>
            </w:r>
          </w:p>
          <w:p>
            <w:pPr>
              <w:pStyle w:val="T4dispositie"/>
              <w:snapToGrid w:val="false"/>
              <w:rPr>
                <w:lang w:val="nl-NL"/>
              </w:rPr>
            </w:pPr>
            <w:r>
              <w:rPr>
                <w:lang w:val="nl-NL"/>
              </w:rPr>
              <w:t>Gemshorn</w:t>
            </w:r>
          </w:p>
          <w:p>
            <w:pPr>
              <w:pStyle w:val="T4dispositie"/>
              <w:snapToGrid w:val="false"/>
              <w:rPr>
                <w:lang w:val="nl-NL"/>
              </w:rPr>
            </w:pPr>
            <w:r>
              <w:rPr>
                <w:lang w:val="nl-NL"/>
              </w:rPr>
              <w:t>Piccolo</w:t>
            </w:r>
          </w:p>
          <w:p>
            <w:pPr>
              <w:pStyle w:val="T4dispositie"/>
              <w:snapToGrid w:val="false"/>
              <w:rPr>
                <w:lang w:val="nl-NL"/>
              </w:rPr>
            </w:pPr>
            <w:r>
              <w:rPr>
                <w:lang w:val="nl-NL"/>
              </w:rPr>
              <w:t>Oboe</w:t>
            </w:r>
          </w:p>
        </w:tc>
        <w:tc>
          <w:tcPr>
            <w:tcW w:w="428"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8'</w:t>
            </w:r>
          </w:p>
          <w:p>
            <w:pPr>
              <w:pStyle w:val="T4dispositie"/>
              <w:snapToGrid w:val="false"/>
              <w:rPr>
                <w:lang w:val="nl-NL"/>
              </w:rPr>
            </w:pPr>
            <w:r>
              <w:rPr>
                <w:lang w:val="nl-NL"/>
              </w:rPr>
              <w:t>4'</w:t>
            </w:r>
          </w:p>
          <w:p>
            <w:pPr>
              <w:pStyle w:val="T4dispositie"/>
              <w:snapToGrid w:val="false"/>
              <w:rPr>
                <w:lang w:val="nl-NL"/>
              </w:rPr>
            </w:pPr>
            <w:r>
              <w:rPr>
                <w:lang w:val="nl-NL"/>
              </w:rPr>
              <w:t>2'</w:t>
            </w:r>
          </w:p>
          <w:p>
            <w:pPr>
              <w:pStyle w:val="T4dispositie"/>
              <w:snapToGrid w:val="false"/>
              <w:rPr>
                <w:lang w:val="nl-NL"/>
              </w:rPr>
            </w:pPr>
            <w:r>
              <w:rPr>
                <w:lang w:val="nl-NL"/>
              </w:rPr>
              <w:t>8'</w:t>
            </w:r>
          </w:p>
        </w:tc>
        <w:tc>
          <w:tcPr>
            <w:tcW w:w="1131" w:type="dxa"/>
            <w:tcBorders/>
          </w:tcPr>
          <w:p>
            <w:pPr>
              <w:pStyle w:val="T4dispositie"/>
              <w:snapToGrid w:val="false"/>
              <w:rPr>
                <w:i/>
                <w:i/>
                <w:iCs/>
                <w:lang w:val="nl-NL"/>
              </w:rPr>
            </w:pPr>
            <w:r>
              <w:rPr>
                <w:i/>
                <w:iCs/>
                <w:lang w:val="nl-NL"/>
              </w:rPr>
              <w:t>Pedal</w:t>
            </w:r>
          </w:p>
          <w:p>
            <w:pPr>
              <w:pStyle w:val="T4dispositie"/>
              <w:snapToGrid w:val="false"/>
              <w:rPr>
                <w:lang w:val="nl-NL"/>
              </w:rPr>
            </w:pPr>
            <w:r>
              <w:rPr>
                <w:lang w:val="nl-NL"/>
              </w:rPr>
              <w:t>1 stem</w:t>
            </w:r>
          </w:p>
          <w:p>
            <w:pPr>
              <w:pStyle w:val="T4dispositie"/>
              <w:snapToGrid w:val="false"/>
              <w:rPr>
                <w:i/>
                <w:i/>
                <w:iCs/>
                <w:lang w:val="nl-NL"/>
              </w:rPr>
            </w:pPr>
            <w:r>
              <w:rPr>
                <w:i/>
                <w:iCs/>
                <w:lang w:val="nl-NL"/>
              </w:rPr>
            </w:r>
          </w:p>
          <w:p>
            <w:pPr>
              <w:pStyle w:val="T4dispositie"/>
              <w:snapToGrid w:val="false"/>
              <w:rPr>
                <w:lang w:val="nl-NL"/>
              </w:rPr>
            </w:pPr>
            <w:r>
              <w:rPr>
                <w:lang w:val="nl-NL"/>
              </w:rPr>
              <w:t>Bourdon</w:t>
            </w:r>
          </w:p>
        </w:tc>
        <w:tc>
          <w:tcPr>
            <w:tcW w:w="823" w:type="dxa"/>
            <w:tcBorders/>
          </w:tcPr>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r>
          </w:p>
          <w:p>
            <w:pPr>
              <w:pStyle w:val="T4dispositie"/>
              <w:snapToGrid w:val="fals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t>koppelingen Swell to Great, Great to Pedal, Swell to Pedal</w:t>
      </w:r>
    </w:p>
    <w:p>
      <w:pPr>
        <w:pStyle w:val="T1"/>
        <w:jc w:val="start"/>
        <w:rPr/>
      </w:pPr>
      <w:r>
        <w:rPr/>
        <w:t>tremulant</w:t>
      </w:r>
    </w:p>
    <w:p>
      <w:pPr>
        <w:pStyle w:val="T1"/>
        <w:jc w:val="start"/>
        <w:rPr/>
      </w:pPr>
      <w:r>
        <w:rPr/>
        <w:t>trigger Swell</w:t>
      </w:r>
    </w:p>
    <w:p>
      <w:pPr>
        <w:pStyle w:val="T1"/>
        <w:jc w:val="start"/>
        <w:rPr/>
      </w:pPr>
      <w:r>
        <w:rPr/>
      </w:r>
    </w:p>
    <w:p>
      <w:pPr>
        <w:pStyle w:val="T1"/>
        <w:jc w:val="start"/>
        <w:rPr/>
      </w:pPr>
      <w:r>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moderne enkelvouwige balg met reservoir</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numPr>
          <w:ilvl w:val="0"/>
          <w:numId w:val="0"/>
        </w:numPr>
        <w:ind w:start="0" w:hanging="0"/>
        <w:rPr>
          <w:i w:val="false"/>
          <w:i w:val="false"/>
          <w:iCs/>
        </w:rPr>
      </w:pPr>
      <w:r>
        <w:rPr>
          <w:i w:val="false"/>
          <w:iCs/>
        </w:rPr>
        <w:t>Bijzonder</w:t>
      </w:r>
    </w:p>
    <w:p>
      <w:pPr>
        <w:pStyle w:val="T1"/>
        <w:jc w:val="start"/>
        <w:rPr>
          <w:i/>
          <w:i/>
          <w:iCs/>
          <w:lang w:val="nl-NL"/>
        </w:rPr>
      </w:pPr>
      <w:r>
        <w:rPr>
          <w:i/>
          <w:iCs/>
          <w:lang w:val="nl-NL"/>
        </w:rPr>
      </w:r>
    </w:p>
    <w:p>
      <w:pPr>
        <w:pStyle w:val="T1"/>
        <w:jc w:val="start"/>
        <w:rPr>
          <w:lang w:val="nl-NL"/>
        </w:rPr>
      </w:pPr>
      <w:r>
        <w:rPr>
          <w:lang w:val="nl-NL"/>
        </w:rPr>
        <w:t xml:space="preserve"> </w:t>
      </w:r>
      <w:r>
        <w:rPr>
          <w:lang w:val="nl-NL"/>
        </w:rPr>
        <w:t>De frontpijpen zijn geschilderd (niet de originele beschildering). Het pedaalklavier is radiaal. De tremulant is nieuw. De lade voor het Great ligt direct achter het front. Hat laagste anderhalf octaaf staat in hele tonen aan de zijkanten, aflopend naar het midden, het vervolg staat chromatisch opgesteld. Het Swell heeft horizontale jaloezieën; de Swell-lade heeft een indeling in hele tonen voor het groot octaaf, de grootste pijpen aan de zijkanten, het vervolg staat daartussen in, eveneens in hele tonen, piramidaal. Het pijpwerk van de Bourdon (Ped) staat achter het Swell en rechts naast het Great.</w:t>
      </w:r>
    </w:p>
    <w:p>
      <w:pPr>
        <w:pStyle w:val="T1"/>
        <w:jc w:val="start"/>
        <w:rPr/>
      </w:pPr>
      <w:r>
        <w:rPr>
          <w:lang w:val="nl-NL"/>
        </w:rPr>
        <w:t>De Stopped Bass (Great en Swell) loopt van C-H; de Stopped Treble, Gamba (Great) en Double, Open Diapason, Gedact (Swell) beginnen op c. De Cornopean heeft houten stevels en is vanaf cis</w:t>
      </w:r>
      <w:r>
        <w:rPr>
          <w:vertAlign w:val="superscript"/>
          <w:lang w:val="nl-NL"/>
        </w:rPr>
        <w:t>3</w:t>
      </w:r>
      <w:r>
        <w:rPr>
          <w:lang w:val="nl-NL"/>
        </w:rPr>
        <w:t xml:space="preserve"> labiaal, de metalen bekers zijn voorzien van intonatieslitsen. De acht- en vier-voets strijkers en prestanten zijn voorzien van expressions met stemringen. De Fifteenth (Great) heeft stemringen. De houten Flute (Great) is tot f</w:t>
      </w:r>
      <w:r>
        <w:rPr>
          <w:vertAlign w:val="superscript"/>
          <w:lang w:val="nl-NL"/>
        </w:rPr>
        <w:t>2</w:t>
      </w:r>
      <w:r>
        <w:rPr>
          <w:lang w:val="nl-NL"/>
        </w:rPr>
        <w:t xml:space="preserve"> halfgedekt. De grootste pijpen van het Swell hangen aan het plafond van de zwelkast.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OpenSymbol">
    <w:altName w:val="Arial Unicode MS"/>
    <w:charset w:val="80"/>
    <w:family w:val="auto"/>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rPr/>
    </w:lvl>
    <w:lvl w:ilvl="1">
      <w:start w:val="1"/>
      <w:pStyle w:val="Heading2"/>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suppressAutoHyphens w:val="false"/>
      <w:outlineLvl w:val="2"/>
    </w:pPr>
    <w:rPr>
      <w:rFonts w:ascii="Times New Roman" w:hAnsi="Times New Roman" w:cs="Times New Roman"/>
      <w:b/>
      <w:bCs/>
      <w:sz w:val="20"/>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WWAbsatzStandardschriftart1">
    <w:name w:val="WW-Absatz-Standardschriftart1"/>
    <w:qFormat/>
    <w:rPr/>
  </w:style>
  <w:style w:type="character" w:styleId="WWStandaardalinealettertype1">
    <w:name w:val="WW-Standaardalinea-lettertype1"/>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Arial" w:hAnsi="Arial" w:eastAsia="DejaVu Sans;Times New Roman" w:cs="DejaVu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2010-03-16T11:46:00Z</dcterms:created>
  <dc:creator>WS1</dc:creator>
  <dc:description/>
  <dc:language>en-US</dc:language>
  <cp:lastModifiedBy>Hans Steketee</cp:lastModifiedBy>
  <cp:lastPrinted>2010-03-09T08:33:00Z</cp:lastPrinted>
  <dcterms:modified xsi:type="dcterms:W3CDTF">2010-03-16T11:46:00Z</dcterms:modified>
  <cp:revision>2</cp:revision>
  <dc:subject/>
  <dc:title>Gaast / 1860</dc:title>
</cp:coreProperties>
</file>