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Bergschenhoek / 1873</w:t>
      </w:r>
    </w:p>
    <w:p>
      <w:pPr>
        <w:pStyle w:val="Heading2"/>
        <w:rPr>
          <w:i w:val="false"/>
          <w:i w:val="false"/>
          <w:iCs/>
        </w:rPr>
      </w:pPr>
      <w:r>
        <w:rPr>
          <w:i w:val="false"/>
          <w:iCs/>
        </w:rPr>
        <w:t>Gereformeerde Kerk Vrijgemaakt</w:t>
      </w:r>
    </w:p>
    <w:p>
      <w:pPr>
        <w:pStyle w:val="T1"/>
        <w:jc w:val="start"/>
        <w:rPr>
          <w:i/>
          <w:i/>
          <w:iCs/>
          <w:lang w:val="nl-NL"/>
        </w:rPr>
      </w:pPr>
      <w:r>
        <w:rPr>
          <w:i/>
          <w:iCs/>
          <w:lang w:val="nl-NL"/>
        </w:rPr>
      </w:r>
    </w:p>
    <w:p>
      <w:pPr>
        <w:pStyle w:val="T1"/>
        <w:rPr>
          <w:i/>
          <w:i/>
          <w:iCs/>
          <w:lang w:val="nl-NL"/>
        </w:rPr>
      </w:pPr>
      <w:r>
        <w:rPr>
          <w:i/>
          <w:iCs/>
          <w:lang w:val="nl-NL"/>
        </w:rPr>
        <w:t>Modern vormgegeven gebouw uit 2003 met kerkzaal en cirkelvormige bijgebouwen.</w:t>
      </w:r>
    </w:p>
    <w:p>
      <w:pPr>
        <w:pStyle w:val="T1"/>
        <w:jc w:val="start"/>
        <w:rPr>
          <w:i/>
          <w:i/>
          <w:iCs/>
          <w:lang w:val="nl-NL"/>
        </w:rPr>
      </w:pPr>
      <w:r>
        <w:rPr>
          <w:i/>
          <w:iCs/>
          <w:lang w:val="nl-NL"/>
        </w:rPr>
      </w:r>
    </w:p>
    <w:p>
      <w:pPr>
        <w:pStyle w:val="T1"/>
        <w:jc w:val="start"/>
        <w:rPr>
          <w:lang w:val="nl-NL"/>
        </w:rPr>
      </w:pPr>
      <w:r>
        <w:rPr>
          <w:lang w:val="nl-NL"/>
        </w:rPr>
        <w:t>Kas: 1873/1991</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front met een eenvoudige vijfdelige opbouw, bestaande uit een spitse verlaagde middentoren, vlakke velden met benedenlijsten in de vorm van een flauwe S en licht inzwenkende bovenlijsten, alles geflankeerd door trapeziumvormige torens. De sierlijke vorm van de lijsten van de velden is in veel Engelse orgelfronten vanaf de 18e eeuw terug te vinden, zij het meestal met een verhoogde middentoren. Opvallend zijn de zware ronde basementen onder de zijtorens. Blinderingen bevinden zich alleen aan de pijpuiteinden in de torens; zij vertonen eenvoudige plantaardige motieven. De thans nog aanwezige stijlkenmerken bieden geen aanknoping voor een enigszins nauwkeurige datering.</w:t>
      </w:r>
    </w:p>
    <w:p>
      <w:pPr>
        <w:pStyle w:val="T2Kunst"/>
        <w:jc w:val="start"/>
        <w:rPr>
          <w:lang w:val="nl-NL"/>
        </w:rPr>
      </w:pPr>
      <w:r>
        <w:rPr>
          <w:lang w:val="nl-NL"/>
        </w:rPr>
        <w:t>Het verhaal gaat dat deze orgelkas omstreeks 1873 zou zijn vervaardigd voor de Franse ex-keizer Napoleon III. Als men bedenkt dat deze in 1871 in ballingschap naar Engeland moest gaan en reeds in januari 1873 overleed, is deze overlevering tamelijk onwaarschijnlijk.</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i/>
          <w:iCs/>
          <w:lang w:val="nl-NL"/>
        </w:rPr>
        <w:t>De Mixtuur,</w:t>
      </w:r>
      <w:r>
        <w:rPr>
          <w:lang w:val="nl-NL"/>
        </w:rPr>
        <w:t xml:space="preserve"> 77 (1994), 892-895.</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onbekend</w:t>
      </w:r>
    </w:p>
    <w:p>
      <w:pPr>
        <w:pStyle w:val="T1"/>
        <w:jc w:val="start"/>
        <w:rPr>
          <w:lang w:val="nl-NL"/>
        </w:rPr>
      </w:pPr>
      <w:r>
        <w:rPr>
          <w:lang w:val="nl-NL"/>
        </w:rPr>
        <w:t>2. F.R. Feenstra</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1. 1873</w:t>
      </w:r>
    </w:p>
    <w:p>
      <w:pPr>
        <w:pStyle w:val="T1"/>
        <w:jc w:val="start"/>
        <w:rPr>
          <w:lang w:val="nl-NL"/>
        </w:rPr>
      </w:pPr>
      <w:r>
        <w:rPr>
          <w:lang w:val="nl-NL"/>
        </w:rPr>
        <w:t>2. 1991</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onbekend (particulier bezit)</w:t>
      </w:r>
    </w:p>
    <w:p>
      <w:pPr>
        <w:pStyle w:val="T1"/>
        <w:jc w:val="start"/>
        <w:rPr>
          <w:lang w:val="nl-NL"/>
        </w:rPr>
      </w:pPr>
      <w:r>
        <w:rPr>
          <w:lang w:val="nl-NL"/>
        </w:rPr>
      </w:r>
    </w:p>
    <w:p>
      <w:pPr>
        <w:pStyle w:val="T1"/>
        <w:jc w:val="start"/>
        <w:rPr>
          <w:lang w:val="nl-NL"/>
        </w:rPr>
      </w:pPr>
      <w:r>
        <w:rPr>
          <w:lang w:val="nl-NL"/>
        </w:rPr>
        <w:t>F.R. Feenstra 1991</w:t>
      </w:r>
    </w:p>
    <w:p>
      <w:pPr>
        <w:pStyle w:val="T1"/>
        <w:numPr>
          <w:ilvl w:val="0"/>
          <w:numId w:val="3"/>
        </w:numPr>
        <w:jc w:val="start"/>
        <w:rPr>
          <w:lang w:val="nl-NL"/>
        </w:rPr>
      </w:pPr>
      <w:r>
        <w:rPr>
          <w:lang w:val="nl-NL"/>
        </w:rPr>
        <w:t>front gebruikt bij de plaatsing en reconstructie van een uit 1842 daterend Engels orgel te Wirdum, Gereformeerde Kerk</w:t>
      </w:r>
    </w:p>
    <w:p>
      <w:pPr>
        <w:pStyle w:val="T1"/>
        <w:numPr>
          <w:ilvl w:val="0"/>
          <w:numId w:val="4"/>
        </w:numPr>
        <w:jc w:val="start"/>
        <w:rPr>
          <w:lang w:val="nl-NL"/>
        </w:rPr>
      </w:pPr>
      <w:r>
        <w:rPr>
          <w:lang w:val="nl-NL"/>
        </w:rPr>
        <w:t>loos onderfront toegevoegd</w:t>
      </w:r>
    </w:p>
    <w:p>
      <w:pPr>
        <w:pStyle w:val="T1"/>
        <w:jc w:val="start"/>
        <w:rPr>
          <w:lang w:val="nl-NL"/>
        </w:rPr>
      </w:pPr>
      <w:r>
        <w:rPr>
          <w:lang w:val="nl-NL"/>
        </w:rPr>
      </w:r>
    </w:p>
    <w:p>
      <w:pPr>
        <w:pStyle w:val="T1"/>
        <w:jc w:val="start"/>
        <w:rPr>
          <w:lang w:val="nl-NL"/>
        </w:rPr>
      </w:pPr>
      <w:r>
        <w:rPr>
          <w:lang w:val="nl-NL"/>
        </w:rPr>
        <w:t>F.R. Feenstra 2002</w:t>
      </w:r>
    </w:p>
    <w:p>
      <w:pPr>
        <w:pStyle w:val="T1"/>
        <w:numPr>
          <w:ilvl w:val="0"/>
          <w:numId w:val="2"/>
        </w:numPr>
        <w:jc w:val="start"/>
        <w:rPr>
          <w:lang w:val="nl-NL"/>
        </w:rPr>
      </w:pPr>
      <w:r>
        <w:rPr>
          <w:lang w:val="nl-NL"/>
        </w:rPr>
        <w:t>orgel overgeplaatst naar Bergschenhoek</w:t>
      </w:r>
    </w:p>
    <w:p>
      <w:pPr>
        <w:pStyle w:val="T1"/>
        <w:numPr>
          <w:ilvl w:val="0"/>
          <w:numId w:val="2"/>
        </w:numPr>
        <w:jc w:val="start"/>
        <w:rPr>
          <w:lang w:val="nl-NL"/>
        </w:rPr>
      </w:pPr>
      <w:r>
        <w:rPr>
          <w:lang w:val="nl-NL"/>
        </w:rPr>
        <w:t>onderfront verwijderd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great, swell, pedal</w:t>
      </w:r>
    </w:p>
    <w:p>
      <w:pPr>
        <w:pStyle w:val="T1"/>
        <w:jc w:val="start"/>
        <w:rPr>
          <w:lang w:val="nl-NL"/>
        </w:rPr>
      </w:pPr>
      <w:r>
        <w:rPr>
          <w:lang w:val="nl-NL"/>
        </w:rPr>
      </w:r>
    </w:p>
    <w:p>
      <w:pPr>
        <w:pStyle w:val="T1"/>
        <w:jc w:val="start"/>
        <w:rPr/>
      </w:pPr>
      <w:r>
        <w:rPr/>
        <w:t>Dispositie</w:t>
      </w:r>
    </w:p>
    <w:tbl>
      <w:tblPr>
        <w:tblW w:w="6803" w:type="dxa"/>
        <w:jc w:val="start"/>
        <w:tblInd w:w="0" w:type="dxa"/>
        <w:tblLayout w:type="fixed"/>
        <w:tblCellMar>
          <w:top w:w="0" w:type="dxa"/>
          <w:start w:w="0" w:type="dxa"/>
          <w:bottom w:w="0" w:type="dxa"/>
          <w:end w:w="0" w:type="dxa"/>
        </w:tblCellMar>
      </w:tblPr>
      <w:tblGrid>
        <w:gridCol w:w="1843"/>
        <w:gridCol w:w="424"/>
        <w:gridCol w:w="1531"/>
        <w:gridCol w:w="737"/>
        <w:gridCol w:w="1531"/>
        <w:gridCol w:w="737"/>
      </w:tblGrid>
      <w:tr>
        <w:trPr/>
        <w:tc>
          <w:tcPr>
            <w:tcW w:w="1843" w:type="dxa"/>
            <w:tcBorders/>
          </w:tcPr>
          <w:p>
            <w:pPr>
              <w:pStyle w:val="T4dispositie"/>
              <w:jc w:val="start"/>
              <w:rPr>
                <w:i/>
                <w:i/>
                <w:iCs/>
                <w:lang w:val="nl-NL"/>
              </w:rPr>
            </w:pPr>
            <w:r>
              <w:rPr>
                <w:i/>
                <w:iCs/>
                <w:lang w:val="nl-NL"/>
              </w:rPr>
              <w:t>Great (I)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Open Diapason</w:t>
            </w:r>
          </w:p>
          <w:p>
            <w:pPr>
              <w:pStyle w:val="T4dispositie"/>
              <w:jc w:val="start"/>
              <w:rPr>
                <w:lang w:val="nl-NL"/>
              </w:rPr>
            </w:pPr>
            <w:r>
              <w:rPr>
                <w:lang w:val="nl-NL"/>
              </w:rPr>
              <w:t>Dulciana D</w:t>
            </w:r>
          </w:p>
          <w:p>
            <w:pPr>
              <w:pStyle w:val="T4dispositie"/>
              <w:jc w:val="start"/>
              <w:rPr>
                <w:lang w:val="nl-NL"/>
              </w:rPr>
            </w:pPr>
            <w:r>
              <w:rPr>
                <w:lang w:val="nl-NL"/>
              </w:rPr>
              <w:t>Stop Diapason B/D</w:t>
            </w:r>
          </w:p>
          <w:p>
            <w:pPr>
              <w:pStyle w:val="T4dispositie"/>
              <w:jc w:val="start"/>
              <w:rPr>
                <w:lang w:val="nl-NL"/>
              </w:rPr>
            </w:pPr>
            <w:r>
              <w:rPr>
                <w:lang w:val="nl-NL"/>
              </w:rPr>
              <w:t>Principal</w:t>
            </w:r>
          </w:p>
          <w:p>
            <w:pPr>
              <w:pStyle w:val="T4dispositie"/>
              <w:jc w:val="start"/>
              <w:rPr>
                <w:lang w:val="nl-NL"/>
              </w:rPr>
            </w:pPr>
            <w:r>
              <w:rPr>
                <w:lang w:val="nl-NL"/>
              </w:rPr>
              <w:t>Fifteenth</w:t>
            </w:r>
          </w:p>
          <w:p>
            <w:pPr>
              <w:pStyle w:val="T4dispositie"/>
              <w:jc w:val="start"/>
              <w:rPr>
                <w:lang w:val="nl-NL"/>
              </w:rPr>
            </w:pPr>
            <w:r>
              <w:rPr>
                <w:lang w:val="nl-NL"/>
              </w:rPr>
              <w:t>Sesquialtra B</w:t>
            </w:r>
          </w:p>
          <w:p>
            <w:pPr>
              <w:pStyle w:val="T4dispositie"/>
              <w:jc w:val="start"/>
              <w:rPr>
                <w:lang w:val="nl-NL"/>
              </w:rPr>
            </w:pPr>
            <w:r>
              <w:rPr>
                <w:lang w:val="nl-NL"/>
              </w:rPr>
              <w:t>Cornet D</w:t>
            </w:r>
          </w:p>
        </w:tc>
        <w:tc>
          <w:tcPr>
            <w:tcW w:w="424"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3 r.</w:t>
            </w:r>
          </w:p>
          <w:p>
            <w:pPr>
              <w:pStyle w:val="T4dispositie"/>
              <w:jc w:val="start"/>
              <w:rPr>
                <w:lang w:val="nl-NL"/>
              </w:rPr>
            </w:pPr>
            <w:r>
              <w:rPr>
                <w:lang w:val="nl-NL"/>
              </w:rPr>
              <w:t>3 r.</w:t>
            </w:r>
          </w:p>
        </w:tc>
        <w:tc>
          <w:tcPr>
            <w:tcW w:w="1531" w:type="dxa"/>
            <w:tcBorders/>
          </w:tcPr>
          <w:p>
            <w:pPr>
              <w:pStyle w:val="T4dispositie"/>
              <w:jc w:val="start"/>
              <w:rPr>
                <w:i/>
                <w:i/>
                <w:iCs/>
                <w:lang w:val="nl-NL"/>
              </w:rPr>
            </w:pPr>
            <w:r>
              <w:rPr>
                <w:i/>
                <w:iCs/>
                <w:lang w:val="nl-NL"/>
              </w:rPr>
              <w:t>Swell (II)</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Double Diapason</w:t>
            </w:r>
          </w:p>
          <w:p>
            <w:pPr>
              <w:pStyle w:val="T4dispositie"/>
              <w:jc w:val="start"/>
              <w:rPr>
                <w:lang w:val="nl-NL"/>
              </w:rPr>
            </w:pPr>
            <w:r>
              <w:rPr>
                <w:lang w:val="nl-NL"/>
              </w:rPr>
              <w:t>Open Diapason</w:t>
            </w:r>
          </w:p>
          <w:p>
            <w:pPr>
              <w:pStyle w:val="T4dispositie"/>
              <w:jc w:val="start"/>
              <w:rPr>
                <w:lang w:val="nl-NL"/>
              </w:rPr>
            </w:pPr>
            <w:r>
              <w:rPr>
                <w:lang w:val="nl-NL"/>
              </w:rPr>
              <w:t>Stop Diapason</w:t>
            </w:r>
          </w:p>
          <w:p>
            <w:pPr>
              <w:pStyle w:val="T4dispositie"/>
              <w:jc w:val="start"/>
              <w:rPr>
                <w:lang w:val="nl-NL"/>
              </w:rPr>
            </w:pPr>
            <w:r>
              <w:rPr>
                <w:lang w:val="nl-NL"/>
              </w:rPr>
              <w:t>Principal</w:t>
            </w:r>
          </w:p>
          <w:p>
            <w:pPr>
              <w:pStyle w:val="T4dispositie"/>
              <w:jc w:val="start"/>
              <w:rPr>
                <w:lang w:val="nl-NL"/>
              </w:rPr>
            </w:pPr>
            <w:r>
              <w:rPr>
                <w:lang w:val="nl-NL"/>
              </w:rPr>
              <w:t>Trumpet</w:t>
            </w:r>
          </w:p>
        </w:tc>
        <w:tc>
          <w:tcPr>
            <w:tcW w:w="73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8'</w:t>
            </w:r>
          </w:p>
        </w:tc>
        <w:tc>
          <w:tcPr>
            <w:tcW w:w="1531" w:type="dxa"/>
            <w:tcBorders/>
          </w:tcPr>
          <w:p>
            <w:pPr>
              <w:pStyle w:val="T4dispositie"/>
              <w:jc w:val="start"/>
              <w:rPr>
                <w:i/>
                <w:i/>
                <w:iCs/>
                <w:lang w:val="nl-NL"/>
              </w:rPr>
            </w:pPr>
            <w:r>
              <w:rPr>
                <w:i/>
                <w:iCs/>
                <w:lang w:val="nl-NL"/>
              </w:rPr>
              <w:t>Pedal</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nl-NL"/>
              </w:rPr>
            </w:pPr>
            <w:r>
              <w:rPr>
                <w:lang w:val="nl-NL"/>
              </w:rPr>
              <w:t>Bourdon</w:t>
            </w:r>
          </w:p>
        </w:tc>
        <w:tc>
          <w:tcPr>
            <w:tcW w:w="73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Great-Swell, Pedal-Great, Pedal-Swell</w:t>
      </w:r>
    </w:p>
    <w:p>
      <w:pPr>
        <w:pStyle w:val="T1"/>
        <w:jc w:val="start"/>
        <w:rPr>
          <w:lang w:val="nl-NL"/>
        </w:rPr>
      </w:pPr>
      <w:r>
        <w:rPr>
          <w:lang w:val="nl-NL"/>
        </w:rPr>
        <w:t>Swell Octave</w:t>
      </w:r>
    </w:p>
    <w:p>
      <w:pPr>
        <w:pStyle w:val="T1"/>
        <w:jc w:val="start"/>
        <w:rPr>
          <w:lang w:val="nl-NL"/>
        </w:rPr>
      </w:pPr>
      <w:r>
        <w:rPr>
          <w:lang w:val="nl-NL"/>
        </w:rPr>
        <w:t>tremulant Swell</w:t>
      </w:r>
    </w:p>
    <w:p>
      <w:pPr>
        <w:pStyle w:val="T1"/>
        <w:jc w:val="start"/>
        <w:rPr>
          <w:lang w:val="nl-NL"/>
        </w:rPr>
      </w:pPr>
      <w:r>
        <w:rPr>
          <w:lang w:val="nl-NL"/>
        </w:rPr>
      </w:r>
    </w:p>
    <w:p>
      <w:pPr>
        <w:pStyle w:val="T1"/>
        <w:jc w:val="start"/>
        <w:rPr>
          <w:lang w:val="nl-NL"/>
        </w:rPr>
      </w:pPr>
      <w:r>
        <w:rPr>
          <w:lang w:val="nl-NL"/>
        </w:rPr>
        <w:t>Samenstelling vulstemmen</w:t>
      </w:r>
    </w:p>
    <w:tbl>
      <w:tblPr>
        <w:tblW w:w="1961" w:type="dxa"/>
        <w:jc w:val="start"/>
        <w:tblInd w:w="-70" w:type="dxa"/>
        <w:tblLayout w:type="fixed"/>
        <w:tblCellMar>
          <w:top w:w="0" w:type="dxa"/>
          <w:start w:w="70" w:type="dxa"/>
          <w:bottom w:w="0" w:type="dxa"/>
          <w:end w:w="70" w:type="dxa"/>
        </w:tblCellMar>
      </w:tblPr>
      <w:tblGrid>
        <w:gridCol w:w="1254"/>
        <w:gridCol w:w="707"/>
      </w:tblGrid>
      <w:tr>
        <w:trPr/>
        <w:tc>
          <w:tcPr>
            <w:tcW w:w="1254" w:type="dxa"/>
            <w:tcBorders/>
          </w:tcPr>
          <w:p>
            <w:pPr>
              <w:pStyle w:val="T1"/>
              <w:jc w:val="start"/>
              <w:rPr>
                <w:lang w:val="nl-NL"/>
              </w:rPr>
            </w:pPr>
            <w:r>
              <w:rPr>
                <w:lang w:val="nl-NL"/>
              </w:rPr>
              <w:t>Sesquialtra</w:t>
            </w:r>
          </w:p>
        </w:tc>
        <w:tc>
          <w:tcPr>
            <w:tcW w:w="707" w:type="dxa"/>
            <w:tcBorders/>
          </w:tcPr>
          <w:p>
            <w:pPr>
              <w:pStyle w:val="T4dispositie"/>
              <w:rPr>
                <w:lang w:val="nl-NL"/>
              </w:rPr>
            </w:pPr>
            <w:r>
              <w:rPr>
                <w:lang w:val="nl-NL"/>
              </w:rPr>
              <w:t>C</w:t>
            </w:r>
          </w:p>
          <w:p>
            <w:pPr>
              <w:pStyle w:val="T4dispositie"/>
              <w:rPr>
                <w:lang w:val="nl-NL"/>
              </w:rPr>
            </w:pPr>
            <w:r>
              <w:rPr>
                <w:lang w:val="nl-NL"/>
              </w:rPr>
              <w:t>1 3/5</w:t>
            </w:r>
          </w:p>
          <w:p>
            <w:pPr>
              <w:pStyle w:val="T4dispositie"/>
              <w:rPr>
                <w:lang w:val="nl-NL"/>
              </w:rPr>
            </w:pPr>
            <w:r>
              <w:rPr>
                <w:lang w:val="nl-NL"/>
              </w:rPr>
              <w:t>1 1/3</w:t>
            </w:r>
          </w:p>
          <w:p>
            <w:pPr>
              <w:pStyle w:val="T4dispositie"/>
              <w:rPr>
                <w:lang w:val="nl-NL"/>
              </w:rPr>
            </w:pPr>
            <w:r>
              <w:rPr>
                <w:lang w:val="nl-NL"/>
              </w:rPr>
              <w:t>1</w:t>
            </w:r>
          </w:p>
        </w:tc>
      </w:tr>
    </w:tbl>
    <w:p>
      <w:pPr>
        <w:pStyle w:val="T1"/>
        <w:jc w:val="start"/>
        <w:rPr>
          <w:lang w:val="nl-NL"/>
        </w:rPr>
      </w:pPr>
      <w:r>
        <w:rPr>
          <w:lang w:val="nl-NL"/>
        </w:rPr>
      </w:r>
    </w:p>
    <w:p>
      <w:pPr>
        <w:pStyle w:val="T1"/>
        <w:jc w:val="start"/>
        <w:rPr/>
      </w:pPr>
      <w:r>
        <w:rPr>
          <w:lang w:val="nl-NL"/>
        </w:rPr>
        <w:t xml:space="preserve">Cornet   </w:t>
      </w:r>
      <w:r>
        <w:rPr>
          <w:sz w:val="20"/>
          <w:lang w:val="nl-NL"/>
        </w:rPr>
        <w:t>c</w:t>
      </w:r>
      <w:r>
        <w:rPr>
          <w:sz w:val="20"/>
          <w:vertAlign w:val="superscript"/>
          <w:lang w:val="nl-NL"/>
        </w:rPr>
        <w:t>1</w:t>
      </w:r>
      <w:r>
        <w:rPr>
          <w:sz w:val="20"/>
          <w:lang w:val="nl-NL"/>
        </w:rPr>
        <w:t xml:space="preserve">   2 2/3 - 2 - 1 3/5</w:t>
      </w:r>
    </w:p>
    <w:p>
      <w:pPr>
        <w:pStyle w:val="T1"/>
        <w:jc w:val="start"/>
        <w:rPr>
          <w:sz w:val="20"/>
          <w:lang w:val="nl-NL"/>
        </w:rPr>
      </w:pPr>
      <w:r>
        <w:rPr>
          <w:sz w:val="20"/>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Young</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C-g</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C-f</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twee magazijnbalgen</w:t>
      </w:r>
    </w:p>
    <w:p>
      <w:pPr>
        <w:pStyle w:val="T1"/>
        <w:jc w:val="start"/>
        <w:rPr>
          <w:lang w:val="nl-NL"/>
        </w:rPr>
      </w:pPr>
      <w:r>
        <w:rPr>
          <w:lang w:val="nl-NL"/>
        </w:rPr>
        <w:t>Winddruk</w:t>
      </w:r>
    </w:p>
    <w:p>
      <w:pPr>
        <w:pStyle w:val="T1"/>
        <w:jc w:val="start"/>
        <w:rPr>
          <w:lang w:val="nl-NL"/>
        </w:rPr>
      </w:pPr>
      <w:r>
        <w:rPr>
          <w:lang w:val="nl-NL"/>
        </w:rPr>
        <w:t>68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 achter het loze onderfront</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fis en g; voor de Sesquialtra-Cornet tussen h en c</w:t>
      </w:r>
      <w:r>
        <w:rPr>
          <w:vertAlign w:val="superscript"/>
          <w:lang w:val="nl-NL"/>
        </w:rPr>
        <w:t>1</w:t>
      </w:r>
      <w:r>
        <w:rPr>
          <w:lang w:val="nl-NL"/>
        </w:rPr>
        <w:t>.</w:t>
      </w:r>
    </w:p>
    <w:p>
      <w:pPr>
        <w:pStyle w:val="T1"/>
        <w:jc w:val="start"/>
        <w:rPr>
          <w:lang w:val="nl-NL"/>
        </w:rPr>
      </w:pPr>
      <w:r>
        <w:rPr>
          <w:lang w:val="nl-NL"/>
        </w:rPr>
        <w:t>De herkomst van dit oude front is niet bekend. In 1991 gebruikte men dit front voor de reconstructie van een Engels orgel dat oorspronkelijk rond 1842 werd vervaardigd, waarschijnlijk door de orgelmakers Fisher &amp; Wilson. Dit instrument had in de loop der jaren echter verschillende wijzigingen ondergaan, zodat bij de in 1991 voltooide restauratie de toestand na de ingrijpende verbouwing van 1893 als uitgangspunt gold. Het pijpwerk uit 1893 of later werd vrijwel integraal verwijderd om de dispositie meer in de geest van het oorspronkelijke werk terug te kunnen brengen. Ook de aanwezige zwelkast werd niet herplaatst.</w:t>
      </w:r>
    </w:p>
    <w:p>
      <w:pPr>
        <w:pStyle w:val="T1"/>
        <w:jc w:val="start"/>
        <w:rPr/>
      </w:pPr>
      <w:r>
        <w:rPr>
          <w:lang w:val="nl-NL"/>
        </w:rPr>
        <w:t>De lade van het Great dateert nog uit de eerste bouwfase en had oorspronkelijk een omvang van G</w:t>
      </w:r>
      <w:r>
        <w:rPr>
          <w:vertAlign w:val="subscript"/>
          <w:lang w:val="nl-NL"/>
        </w:rPr>
        <w:t>1</w:t>
      </w:r>
      <w:r>
        <w:rPr>
          <w:lang w:val="nl-NL"/>
        </w:rPr>
        <w:t>-g</w:t>
      </w:r>
      <w:r>
        <w:rPr>
          <w:vertAlign w:val="superscript"/>
          <w:lang w:val="nl-NL"/>
        </w:rPr>
        <w:t>3</w:t>
      </w:r>
      <w:r>
        <w:rPr>
          <w:lang w:val="nl-NL"/>
        </w:rPr>
        <w:t>; de cancellen in het contraoctaaf zijn sinds 1893 buiten gebruik. De lade van het Swell werd in 1893 geheel nieuw gemaakt. Ook het stellingwerk, de klaviatuur en een van de beide magazijnbalgen dateren van deze periode.</w:t>
      </w:r>
    </w:p>
    <w:p>
      <w:pPr>
        <w:pStyle w:val="T1"/>
        <w:jc w:val="start"/>
        <w:rPr>
          <w:lang w:val="nl-NL"/>
        </w:rPr>
      </w:pPr>
      <w:r>
        <w:rPr>
          <w:lang w:val="nl-NL"/>
        </w:rPr>
        <w:t>Het pijpwerk uit 1842 bleef grotendeels bewaard. De Open Diapason van het Great staat van C-dis in het front (nieuw). De Stop Diapason van het Great is geheel van hout, gedekt; in de discant echter voorzien van doorboorde stoppen. De Sesquialtra B en Cornet D werden in 1991 geheel nieuw gemaakt. De Double Diapason van het Swell spreekt vanaf c. Het pijpwerk is grotendeels afkomstig van een oude Fluit 4'. De Stop Diapason is geheel van hout, gedekt en vanaf c voorzien van doorboorde stoppen. De uit 1873 daterende Trumpet bezit metalen stevels en koppen; de bekers zijn van spotted metal.</w:t>
      </w:r>
    </w:p>
    <w:sectPr>
      <w:type w:val="nextPage"/>
      <w:pgSz w:w="12240" w:h="15840"/>
      <w:pgMar w:left="850" w:right="850" w:gutter="0" w:header="0" w:top="1440" w:footer="0"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Arial Narrow">
    <w:charset w:val="00" w:characterSet="windows-1252"/>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abstractNum w:abstractNumId="4">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rFonts w:ascii="Times New Roman" w:hAnsi="Times New Roman" w:cs="Times New Roman"/>
      <w:sz w:val="24"/>
      <w:szCs w:val="24"/>
      <w:vertAlign w:val="superscript"/>
      <w:lang w:val="en-US"/>
    </w:rPr>
  </w:style>
  <w:style w:type="character" w:styleId="Voetnootverwijzing">
    <w:name w:val="Voetnootverwijzing"/>
    <w:qFormat/>
    <w:rPr>
      <w:vertAlign w:val="superscript"/>
    </w:rPr>
  </w:style>
  <w:style w:type="character" w:styleId="DefaultParagraphFo">
    <w:name w:val="Default Paragraph Fo"/>
    <w:basedOn w:val="Standaardalinealettertype"/>
    <w:qFormat/>
    <w:rPr/>
  </w:style>
  <w:style w:type="character" w:styleId="FootnoteCharacters">
    <w:name w:val="Footnote Characters"/>
    <w:basedOn w:val="Standaardalinealettertype"/>
    <w:qFormat/>
    <w:rPr>
      <w:rFonts w:ascii="Times New Roman" w:hAnsi="Times New Roman" w:cs="Times New Roman"/>
      <w:sz w:val="24"/>
      <w:szCs w:val="24"/>
      <w:vertAlign w:val="superscript"/>
      <w:lang w:val="en-US"/>
    </w:rPr>
  </w:style>
  <w:style w:type="character" w:styleId="EquationCaption">
    <w:name w:val="_Equation Caption"/>
    <w:basedOn w:val="Standaardalinealettertype"/>
    <w:qFormat/>
    <w:rPr/>
  </w:style>
  <w:style w:type="character" w:styleId="EquationCaption1">
    <w:name w:val="_Equation Caption1"/>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Endnote">
    <w:name w:val="Endnote Text"/>
    <w:basedOn w:val="Normal"/>
    <w:pPr>
      <w:tabs>
        <w:tab w:val="clear" w:pos="720"/>
        <w:tab w:val="left" w:pos="-720" w:leader="none"/>
      </w:tabs>
      <w:suppressAutoHyphens w:val="true"/>
      <w:spacing w:lineRule="atLeast" w:line="240"/>
    </w:pPr>
    <w:rPr>
      <w:rFonts w:ascii="Times New Roman" w:hAnsi="Times New Roman" w:cs="Times New Roman"/>
    </w:rPr>
  </w:style>
  <w:style w:type="paragraph" w:styleId="Footnote">
    <w:name w:val="Footnote Text"/>
    <w:basedOn w:val="Normal"/>
    <w:pPr>
      <w:tabs>
        <w:tab w:val="clear" w:pos="720"/>
        <w:tab w:val="left" w:pos="-720" w:leader="none"/>
      </w:tabs>
      <w:suppressAutoHyphens w:val="true"/>
      <w:spacing w:lineRule="atLeast" w:line="240"/>
    </w:pPr>
    <w:rPr>
      <w:rFonts w:ascii="Times New Roman" w:hAnsi="Times New Roman" w:cs="Times New Roman"/>
    </w:rPr>
  </w:style>
  <w:style w:type="paragraph" w:styleId="MACNormaal">
    <w:name w:val="MACNormaal"/>
    <w:qFormat/>
    <w:pPr>
      <w:widowControl w:val="false"/>
      <w:tabs>
        <w:tab w:val="clear" w:pos="720"/>
        <w:tab w:val="left" w:pos="-283" w:leader="none"/>
        <w:tab w:val="left" w:pos="283" w:leader="none"/>
        <w:tab w:val="left" w:pos="851" w:leader="none"/>
        <w:tab w:val="left" w:pos="1417" w:leader="none"/>
        <w:tab w:val="left" w:pos="1985" w:leader="none"/>
        <w:tab w:val="left" w:pos="2551" w:leader="none"/>
        <w:tab w:val="left" w:pos="3119" w:leader="none"/>
        <w:tab w:val="left" w:pos="3685" w:leader="none"/>
        <w:tab w:val="left" w:pos="4251" w:leader="none"/>
        <w:tab w:val="left" w:pos="4819" w:leader="none"/>
        <w:tab w:val="left" w:pos="5385" w:leader="none"/>
        <w:tab w:val="left" w:pos="5953" w:leader="none"/>
        <w:tab w:val="left" w:pos="6519" w:leader="none"/>
        <w:tab w:val="left" w:pos="7087" w:leader="none"/>
        <w:tab w:val="left" w:pos="7653" w:leader="none"/>
        <w:tab w:val="left" w:pos="8220" w:leader="none"/>
        <w:tab w:val="left" w:pos="8787" w:leader="none"/>
        <w:tab w:val="left" w:pos="9354" w:leader="none"/>
        <w:tab w:val="left" w:pos="9921" w:leader="none"/>
        <w:tab w:val="left" w:pos="10488" w:leader="none"/>
      </w:tabs>
      <w:suppressAutoHyphens w:val="true"/>
      <w:autoSpaceDE w:val="false"/>
      <w:bidi w:val="0"/>
      <w:spacing w:lineRule="atLeast" w:line="240"/>
    </w:pPr>
    <w:rPr>
      <w:rFonts w:ascii="Arial Narrow" w:hAnsi="Arial Narrow" w:eastAsia="Times New Roman" w:cs="Arial Narrow"/>
      <w:color w:val="000000"/>
      <w:sz w:val="23"/>
      <w:szCs w:val="23"/>
      <w:lang w:val="nl-NL" w:bidi="ar-SA" w:eastAsia="zh-CN"/>
    </w:rPr>
  </w:style>
  <w:style w:type="paragraph" w:styleId="Inhopg1">
    <w:name w:val="inhopg 1"/>
    <w:basedOn w:val="Normal"/>
    <w:qFormat/>
    <w:pPr>
      <w:tabs>
        <w:tab w:val="clear" w:pos="720"/>
        <w:tab w:val="right" w:pos="9360" w:leader="dot"/>
      </w:tabs>
      <w:suppressAutoHyphens w:val="true"/>
      <w:spacing w:lineRule="atLeast" w:line="240" w:before="480" w:after="0"/>
      <w:ind w:start="720" w:end="720" w:hanging="720"/>
    </w:pPr>
    <w:rPr>
      <w:lang w:val="en-US"/>
    </w:rPr>
  </w:style>
  <w:style w:type="paragraph" w:styleId="Inhopg2">
    <w:name w:val="inhopg 2"/>
    <w:basedOn w:val="Normal"/>
    <w:qFormat/>
    <w:pPr>
      <w:tabs>
        <w:tab w:val="clear" w:pos="720"/>
        <w:tab w:val="right" w:pos="9360" w:leader="dot"/>
      </w:tabs>
      <w:suppressAutoHyphens w:val="true"/>
      <w:spacing w:lineRule="atLeast" w:line="240"/>
      <w:ind w:start="1440" w:end="720" w:hanging="720"/>
    </w:pPr>
    <w:rPr>
      <w:lang w:val="en-US"/>
    </w:rPr>
  </w:style>
  <w:style w:type="paragraph" w:styleId="Inhopg3">
    <w:name w:val="inhopg 3"/>
    <w:basedOn w:val="Normal"/>
    <w:qFormat/>
    <w:pPr>
      <w:tabs>
        <w:tab w:val="clear" w:pos="720"/>
        <w:tab w:val="right" w:pos="9360" w:leader="dot"/>
      </w:tabs>
      <w:suppressAutoHyphens w:val="true"/>
      <w:spacing w:lineRule="atLeast" w:line="240"/>
      <w:ind w:start="2160" w:end="720" w:hanging="720"/>
    </w:pPr>
    <w:rPr>
      <w:lang w:val="en-US"/>
    </w:rPr>
  </w:style>
  <w:style w:type="paragraph" w:styleId="Inhopg4">
    <w:name w:val="inhopg 4"/>
    <w:basedOn w:val="Normal"/>
    <w:qFormat/>
    <w:pPr>
      <w:tabs>
        <w:tab w:val="clear" w:pos="720"/>
        <w:tab w:val="right" w:pos="9360" w:leader="dot"/>
      </w:tabs>
      <w:suppressAutoHyphens w:val="true"/>
      <w:spacing w:lineRule="atLeast" w:line="240"/>
      <w:ind w:start="2880" w:end="720" w:hanging="720"/>
    </w:pPr>
    <w:rPr>
      <w:lang w:val="en-US"/>
    </w:rPr>
  </w:style>
  <w:style w:type="paragraph" w:styleId="Inhopg5">
    <w:name w:val="inhopg 5"/>
    <w:basedOn w:val="Normal"/>
    <w:qFormat/>
    <w:pPr>
      <w:tabs>
        <w:tab w:val="clear" w:pos="720"/>
        <w:tab w:val="right" w:pos="9360" w:leader="dot"/>
      </w:tabs>
      <w:suppressAutoHyphens w:val="true"/>
      <w:spacing w:lineRule="atLeast" w:line="240"/>
      <w:ind w:start="3600" w:end="720" w:hanging="720"/>
    </w:pPr>
    <w:rPr>
      <w:lang w:val="en-US"/>
    </w:rPr>
  </w:style>
  <w:style w:type="paragraph" w:styleId="Inhopg6">
    <w:name w:val="inhopg 6"/>
    <w:basedOn w:val="Normal"/>
    <w:qFormat/>
    <w:pPr>
      <w:tabs>
        <w:tab w:val="clear" w:pos="720"/>
        <w:tab w:val="right" w:pos="9360" w:leader="none"/>
      </w:tabs>
      <w:suppressAutoHyphens w:val="true"/>
      <w:spacing w:lineRule="atLeast" w:line="240"/>
      <w:ind w:start="720" w:hanging="720"/>
    </w:pPr>
    <w:rPr>
      <w:lang w:val="en-US"/>
    </w:rPr>
  </w:style>
  <w:style w:type="paragraph" w:styleId="Inhopg7">
    <w:name w:val="inhopg 7"/>
    <w:basedOn w:val="Normal"/>
    <w:qFormat/>
    <w:pPr>
      <w:suppressAutoHyphens w:val="true"/>
      <w:spacing w:lineRule="atLeast" w:line="240"/>
      <w:ind w:start="720" w:hanging="720"/>
    </w:pPr>
    <w:rPr>
      <w:lang w:val="en-US"/>
    </w:rPr>
  </w:style>
  <w:style w:type="paragraph" w:styleId="Inhopg8">
    <w:name w:val="inhopg 8"/>
    <w:basedOn w:val="Normal"/>
    <w:qFormat/>
    <w:pPr>
      <w:tabs>
        <w:tab w:val="clear" w:pos="720"/>
        <w:tab w:val="right" w:pos="9360" w:leader="none"/>
      </w:tabs>
      <w:suppressAutoHyphens w:val="true"/>
      <w:spacing w:lineRule="atLeast" w:line="240"/>
      <w:ind w:start="720" w:hanging="720"/>
    </w:pPr>
    <w:rPr>
      <w:lang w:val="en-US"/>
    </w:rPr>
  </w:style>
  <w:style w:type="paragraph" w:styleId="Inhopg9">
    <w:name w:val="inhopg 9"/>
    <w:basedOn w:val="Normal"/>
    <w:qFormat/>
    <w:pPr>
      <w:tabs>
        <w:tab w:val="clear" w:pos="720"/>
        <w:tab w:val="right" w:pos="9360" w:leader="dot"/>
      </w:tabs>
      <w:suppressAutoHyphens w:val="true"/>
      <w:spacing w:lineRule="atLeast" w:line="240"/>
      <w:ind w:start="720" w:hanging="720"/>
    </w:pPr>
    <w:rPr>
      <w:lang w:val="en-US"/>
    </w:rPr>
  </w:style>
  <w:style w:type="paragraph" w:styleId="Index1">
    <w:name w:val="Index 1"/>
    <w:basedOn w:val="Normal"/>
    <w:next w:val="Normal"/>
    <w:pPr>
      <w:tabs>
        <w:tab w:val="clear" w:pos="720"/>
        <w:tab w:val="right" w:pos="9360" w:leader="dot"/>
      </w:tabs>
      <w:suppressAutoHyphens w:val="true"/>
      <w:spacing w:lineRule="atLeast" w:line="240"/>
      <w:ind w:start="1440" w:end="720" w:hanging="1440"/>
    </w:pPr>
    <w:rPr>
      <w:lang w:val="en-US"/>
    </w:rPr>
  </w:style>
  <w:style w:type="paragraph" w:styleId="Index2">
    <w:name w:val="Index 2"/>
    <w:basedOn w:val="Normal"/>
    <w:next w:val="Normal"/>
    <w:pPr>
      <w:tabs>
        <w:tab w:val="clear" w:pos="720"/>
        <w:tab w:val="right" w:pos="9360" w:leader="dot"/>
      </w:tabs>
      <w:suppressAutoHyphens w:val="true"/>
      <w:spacing w:lineRule="atLeast" w:line="240"/>
      <w:ind w:start="1440" w:end="720" w:hanging="720"/>
    </w:pPr>
    <w:rPr>
      <w:lang w:val="en-US"/>
    </w:rPr>
  </w:style>
  <w:style w:type="paragraph" w:styleId="Bronvermelding">
    <w:name w:val="bronvermelding"/>
    <w:basedOn w:val="Normal"/>
    <w:qFormat/>
    <w:pPr>
      <w:tabs>
        <w:tab w:val="clear" w:pos="720"/>
        <w:tab w:val="right" w:pos="9360" w:leader="none"/>
      </w:tabs>
      <w:suppressAutoHyphens w:val="true"/>
      <w:spacing w:lineRule="atLeast" w:line="240"/>
    </w:pPr>
    <w:rPr>
      <w:lang w:val="en-US"/>
    </w:rPr>
  </w:style>
  <w:style w:type="paragraph" w:styleId="Bijschrift">
    <w:name w:val="bijschrift"/>
    <w:basedOn w:val="Normal"/>
    <w:qFormat/>
    <w:pPr/>
    <w:rPr>
      <w:rFonts w:cs="Times New Roman"/>
      <w:sz w:val="20"/>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2010-03-15T22:54:00Z</dcterms:created>
  <dc:creator>WS1</dc:creator>
  <dc:description/>
  <dc:language>en-US</dc:language>
  <cp:lastModifiedBy>Hans</cp:lastModifiedBy>
  <dcterms:modified xsi:type="dcterms:W3CDTF">2010-03-15T22:54:00Z</dcterms:modified>
  <cp:revision>2</cp:revision>
  <dc:subject/>
  <dc:title>Wirdum/1873</dc:title>
</cp:coreProperties>
</file>