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60"/>
        <w:ind w:start="0" w:hanging="0"/>
        <w:rPr/>
      </w:pPr>
      <w:r>
        <w:rPr/>
        <w:t>Leiden / 1875</w:t>
      </w:r>
    </w:p>
    <w:p>
      <w:pPr>
        <w:pStyle w:val="Heading2"/>
        <w:numPr>
          <w:ilvl w:val="0"/>
          <w:numId w:val="0"/>
        </w:numPr>
        <w:ind w:start="0" w:hanging="0"/>
        <w:rPr>
          <w:i w:val="false"/>
          <w:i w:val="false"/>
          <w:iCs/>
        </w:rPr>
      </w:pPr>
      <w:r>
        <w:rPr>
          <w:i w:val="false"/>
          <w:iCs/>
        </w:rPr>
        <w:t>Oecumenisch Kerkcentrum De Regenboog</w:t>
      </w:r>
    </w:p>
    <w:p>
      <w:pPr>
        <w:pStyle w:val="T1"/>
        <w:jc w:val="start"/>
        <w:rPr>
          <w:i/>
          <w:i/>
          <w:iCs/>
          <w:lang w:val="nl-NL"/>
        </w:rPr>
      </w:pPr>
      <w:r>
        <w:rPr>
          <w:i/>
          <w:iCs/>
          <w:lang w:val="nl-NL"/>
        </w:rPr>
      </w:r>
    </w:p>
    <w:p>
      <w:pPr>
        <w:pStyle w:val="T1"/>
        <w:jc w:val="start"/>
        <w:rPr>
          <w:i/>
          <w:i/>
          <w:iCs/>
          <w:lang w:val="nl-NL"/>
        </w:rPr>
      </w:pPr>
      <w:r>
        <w:rPr>
          <w:i/>
          <w:iCs/>
          <w:lang w:val="nl-NL"/>
        </w:rPr>
        <w:t>Kerk en zalencomplex uit 1976.</w:t>
      </w:r>
    </w:p>
    <w:p>
      <w:pPr>
        <w:pStyle w:val="T1"/>
        <w:jc w:val="start"/>
        <w:rPr>
          <w:i/>
          <w:i/>
          <w:iCs/>
          <w:lang w:val="nl-NL"/>
        </w:rPr>
      </w:pPr>
      <w:r>
        <w:rPr>
          <w:i/>
          <w:iCs/>
          <w:lang w:val="nl-NL"/>
        </w:rPr>
      </w:r>
    </w:p>
    <w:p>
      <w:pPr>
        <w:pStyle w:val="T1"/>
        <w:jc w:val="start"/>
        <w:rPr>
          <w:lang w:val="nl-NL"/>
        </w:rPr>
      </w:pPr>
      <w:r>
        <w:rPr>
          <w:lang w:val="nl-NL"/>
        </w:rPr>
        <w:t>Kas: 1875</w:t>
      </w:r>
    </w:p>
    <w:p>
      <w:pPr>
        <w:pStyle w:val="T1"/>
        <w:jc w:val="start"/>
        <w:rPr>
          <w:lang w:val="nl-NL"/>
        </w:rPr>
      </w:pPr>
      <w:r>
        <w:rPr>
          <w:lang w:val="nl-NL"/>
        </w:rPr>
      </w:r>
    </w:p>
    <w:p>
      <w:pPr>
        <w:pStyle w:val="Heading2"/>
        <w:numPr>
          <w:ilvl w:val="0"/>
          <w:numId w:val="0"/>
        </w:numPr>
        <w:ind w:start="0" w:hanging="0"/>
        <w:rPr>
          <w:i w:val="false"/>
          <w:i w:val="false"/>
          <w:iCs/>
        </w:rPr>
      </w:pPr>
      <w:r>
        <w:rPr>
          <w:i w:val="false"/>
          <w:iCs/>
        </w:rPr>
        <w:t>Kunsthistorische aspecten</w:t>
      </w:r>
    </w:p>
    <w:p>
      <w:pPr>
        <w:pStyle w:val="T2Kunst"/>
        <w:jc w:val="start"/>
        <w:rPr/>
      </w:pPr>
      <w:r>
        <w:rPr>
          <w:lang w:val="nl-NL"/>
        </w:rPr>
        <w:t xml:space="preserve">Een typisch Victoriaans front in </w:t>
      </w:r>
      <w:r>
        <w:rPr>
          <w:i/>
          <w:lang w:val="nl-NL"/>
        </w:rPr>
        <w:t>spatial design</w:t>
      </w:r>
      <w:r>
        <w:rPr>
          <w:lang w:val="nl-NL"/>
        </w:rPr>
        <w:t>, waarbij slechts de onderkas in hout is uitgevoerd en dak en achterwand van de eigenlijke kas volledig ontbreken. De sprekende frontpijpen zijn in een drietal velden opgesteld met achtereenvolgens Gis, C en G van de Open Diapason 8</w:t>
      </w:r>
      <w:r>
        <w:rPr>
          <w:rFonts w:cs="Times New Roman" w:ascii="Times New Roman" w:hAnsi="Times New Roman"/>
          <w:lang w:val="nl-NL"/>
        </w:rPr>
        <w:t>'</w:t>
      </w:r>
      <w:r>
        <w:rPr>
          <w:lang w:val="nl-NL"/>
        </w:rPr>
        <w:t xml:space="preserve"> als grootste pijpen in het midden. De buitenvelden worden elk overhoeks geflankeerd door een viertal loze metalen pijpen van gelijke lengte maar met oplopend labiumformaat. In aansluiting daarop is in beide zijfronten het houten pijpwerk van C-H plus c-cis van Bourdon 16</w:t>
      </w:r>
      <w:r>
        <w:rPr>
          <w:rFonts w:cs="Times New Roman" w:ascii="Times New Roman" w:hAnsi="Times New Roman"/>
          <w:lang w:val="nl-NL"/>
        </w:rPr>
        <w:t>'</w:t>
      </w:r>
      <w:r>
        <w:rPr>
          <w:lang w:val="nl-NL"/>
        </w:rPr>
        <w:t xml:space="preserve"> opgesteld met eveneens de grootste exemplaren (C en Cis) in het midden. De velden worden niet door frontstijlen van elkaar gescheiden; wel wordt de drieledige veldindeling aan de voorzijde geaccentueerd door geprofileerde consolelijsten in de holronde krans. De onderkas is van eenvoudig paneelwerk met geschuinde profielen voorzien. In de kranslijst is een firmasignatuur met jaartal opgenomen. De geschilderde sjabloondecoratie van de frontpijpen is bijzonder levendig: elke pijp is van een drietal gestileerde bloemfiguren voorzien, achtereenvolgens op het labium en onder en boven een geschilderde blauwe pijpenband. Ook de pijpuiteinden zijn van een sjabloondecoratie voorzien. De contourwerking van de pijpdecoraties volgt de conform de corpuslengten oplopende voet- en labiumhoogten.</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pPr>
      <w:r>
        <w:rPr>
          <w:lang w:val="nl-NL"/>
        </w:rPr>
        <w:t xml:space="preserve">Frans Grims, </w:t>
      </w:r>
      <w:r>
        <w:rPr>
          <w:i/>
          <w:iCs/>
          <w:lang w:val="nl-NL"/>
        </w:rPr>
        <w:t>Ruim twee eeuwen orgelklanken in Leiderdorp</w:t>
      </w:r>
      <w:r>
        <w:rPr>
          <w:lang w:val="nl-NL"/>
        </w:rPr>
        <w:t>. Leiderdorp, 2005, 156-168.</w:t>
      </w:r>
    </w:p>
    <w:p>
      <w:pPr>
        <w:pStyle w:val="T3Lit"/>
        <w:jc w:val="start"/>
        <w:rPr>
          <w:lang w:val="nl-NL"/>
        </w:rPr>
      </w:pPr>
      <w:r>
        <w:rPr>
          <w:lang w:val="nl-NL"/>
        </w:rPr>
      </w:r>
    </w:p>
    <w:p>
      <w:pPr>
        <w:pStyle w:val="Heading2"/>
        <w:numPr>
          <w:ilvl w:val="0"/>
          <w:numId w:val="0"/>
        </w:numPr>
        <w:ind w:start="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Forster &amp; Andrews</w:t>
      </w:r>
    </w:p>
    <w:p>
      <w:pPr>
        <w:pStyle w:val="T1"/>
        <w:jc w:val="start"/>
        <w:rPr>
          <w:lang w:val="nl-NL"/>
        </w:rPr>
      </w:pPr>
      <w:r>
        <w:rPr>
          <w:lang w:val="nl-NL"/>
        </w:rPr>
      </w:r>
    </w:p>
    <w:p>
      <w:pPr>
        <w:pStyle w:val="T1"/>
        <w:jc w:val="start"/>
        <w:rPr>
          <w:lang w:val="nl-NL"/>
        </w:rPr>
      </w:pPr>
      <w:r>
        <w:rPr>
          <w:lang w:val="nl-NL"/>
        </w:rPr>
        <w:t>Jaar van oplevering</w:t>
      </w:r>
    </w:p>
    <w:p>
      <w:pPr>
        <w:pStyle w:val="T1"/>
        <w:rPr>
          <w:lang w:val="nl-NL"/>
        </w:rPr>
      </w:pPr>
      <w:r>
        <w:rPr>
          <w:lang w:val="nl-NL"/>
        </w:rPr>
        <w:t>1875</w:t>
      </w:r>
    </w:p>
    <w:p>
      <w:pPr>
        <w:pStyle w:val="T1"/>
        <w:rPr>
          <w:lang w:val="nl-NL"/>
        </w:rPr>
      </w:pPr>
      <w:r>
        <w:rPr>
          <w:lang w:val="nl-NL"/>
        </w:rPr>
      </w:r>
    </w:p>
    <w:p>
      <w:pPr>
        <w:pStyle w:val="T1"/>
        <w:rPr>
          <w:lang w:val="nl-NL"/>
        </w:rPr>
      </w:pPr>
      <w:r>
        <w:rPr>
          <w:lang w:val="nl-NL"/>
        </w:rPr>
        <w:t>Oorspronkelijke locatie</w:t>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t>Oundle (Northamtonshire), United Reformed Church</w:t>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t>vrwijwilligers onder leiding van J.N. Breedvelt 1982</w:t>
      </w:r>
    </w:p>
    <w:p>
      <w:pPr>
        <w:pStyle w:val="Normal"/>
        <w:numPr>
          <w:ilvl w:val="0"/>
          <w:numId w:val="3"/>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t>orgel geplaatst te Leiderdorp, Muziekschool de Muzenhof</w:t>
      </w:r>
    </w:p>
    <w:p>
      <w:pPr>
        <w:pStyle w:val="Normal"/>
        <w:numPr>
          <w:ilvl w:val="0"/>
          <w:numId w:val="2"/>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t>windladen Great en Swell van hechthouten platen voorzien</w:t>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t>A. Nijsse &amp; Zn 2005</w:t>
      </w:r>
    </w:p>
    <w:p>
      <w:pPr>
        <w:pStyle w:val="Normal"/>
        <w:numPr>
          <w:ilvl w:val="0"/>
          <w:numId w:val="2"/>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t>orgel gerestaureerd en geplaatst te Leiden, De Regenboog</w:t>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t>A. Nijsse &amp; Zn. 2007</w:t>
      </w:r>
    </w:p>
    <w:p>
      <w:pPr>
        <w:pStyle w:val="Normal"/>
        <w:numPr>
          <w:ilvl w:val="0"/>
          <w:numId w:val="2"/>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t>pedaalklavier vernieuwd</w:t>
      </w:r>
    </w:p>
    <w:p>
      <w:pPr>
        <w:pStyle w:val="T1"/>
        <w:rPr>
          <w:rFonts w:ascii="Times" w:hAnsi="Times" w:cs="Times"/>
          <w:lang w:val="nl-NL"/>
        </w:rPr>
      </w:pPr>
      <w:r>
        <w:rPr>
          <w:rFonts w:cs="Times" w:ascii="Times" w:hAnsi="Times"/>
          <w:lang w:val="nl-NL"/>
        </w:rPr>
      </w:r>
    </w:p>
    <w:p>
      <w:pPr>
        <w:pStyle w:val="Heading2"/>
        <w:numPr>
          <w:ilvl w:val="0"/>
          <w:numId w:val="0"/>
        </w:numPr>
        <w:ind w:start="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great, swell pedal</w:t>
      </w:r>
    </w:p>
    <w:p>
      <w:pPr>
        <w:pStyle w:val="T1"/>
        <w:jc w:val="start"/>
        <w:rPr>
          <w:lang w:val="nl-NL"/>
        </w:rPr>
      </w:pPr>
      <w:r>
        <w:rPr>
          <w:lang w:val="nl-NL"/>
        </w:rPr>
      </w:r>
    </w:p>
    <w:p>
      <w:pPr>
        <w:pStyle w:val="T1"/>
        <w:jc w:val="start"/>
        <w:rPr/>
      </w:pPr>
      <w:r>
        <w:rPr/>
        <w:t>Dispositie</w:t>
      </w:r>
    </w:p>
    <w:tbl>
      <w:tblPr>
        <w:tblW w:w="6449" w:type="dxa"/>
        <w:jc w:val="start"/>
        <w:tblInd w:w="-70" w:type="dxa"/>
        <w:tblLayout w:type="fixed"/>
        <w:tblCellMar>
          <w:top w:w="0" w:type="dxa"/>
          <w:start w:w="70" w:type="dxa"/>
          <w:bottom w:w="0" w:type="dxa"/>
          <w:end w:w="70" w:type="dxa"/>
        </w:tblCellMar>
      </w:tblPr>
      <w:tblGrid>
        <w:gridCol w:w="1913"/>
        <w:gridCol w:w="567"/>
        <w:gridCol w:w="1701"/>
        <w:gridCol w:w="567"/>
        <w:gridCol w:w="1134"/>
        <w:gridCol w:w="567"/>
      </w:tblGrid>
      <w:tr>
        <w:trPr/>
        <w:tc>
          <w:tcPr>
            <w:tcW w:w="1913" w:type="dxa"/>
            <w:tcBorders/>
          </w:tcPr>
          <w:p>
            <w:pPr>
              <w:pStyle w:val="T4dispositie"/>
              <w:snapToGrid w:val="false"/>
              <w:rPr>
                <w:i/>
                <w:i/>
                <w:iCs/>
                <w:lang w:val="nl-NL"/>
              </w:rPr>
            </w:pPr>
            <w:r>
              <w:rPr>
                <w:i/>
                <w:iCs/>
                <w:lang w:val="nl-NL"/>
              </w:rPr>
              <w:t>Great (I)</w:t>
            </w:r>
          </w:p>
          <w:p>
            <w:pPr>
              <w:pStyle w:val="T4dispositie"/>
              <w:snapToGrid w:val="false"/>
              <w:rPr>
                <w:lang w:val="nl-NL"/>
              </w:rPr>
            </w:pPr>
            <w:r>
              <w:rPr>
                <w:lang w:val="nl-NL"/>
              </w:rPr>
              <w:t>6 stemmen</w:t>
            </w:r>
          </w:p>
          <w:p>
            <w:pPr>
              <w:pStyle w:val="T4dispositie"/>
              <w:snapToGrid w:val="false"/>
              <w:rPr>
                <w:i/>
                <w:i/>
                <w:iCs/>
                <w:lang w:val="nl-NL"/>
              </w:rPr>
            </w:pPr>
            <w:r>
              <w:rPr>
                <w:i/>
                <w:iCs/>
                <w:lang w:val="nl-NL"/>
              </w:rPr>
            </w:r>
          </w:p>
          <w:p>
            <w:pPr>
              <w:pStyle w:val="T4dispositie"/>
              <w:rPr>
                <w:lang w:val="nl-NL"/>
              </w:rPr>
            </w:pPr>
            <w:r>
              <w:rPr>
                <w:lang w:val="nl-NL"/>
              </w:rPr>
              <w:t>Open Diapason</w:t>
            </w:r>
          </w:p>
          <w:p>
            <w:pPr>
              <w:pStyle w:val="T4dispositie"/>
              <w:rPr>
                <w:lang w:val="nl-NL"/>
              </w:rPr>
            </w:pPr>
            <w:r>
              <w:rPr>
                <w:lang w:val="nl-NL"/>
              </w:rPr>
              <w:t>Stopped Diapason B/T</w:t>
            </w:r>
          </w:p>
          <w:p>
            <w:pPr>
              <w:pStyle w:val="T4dispositie"/>
              <w:rPr>
                <w:lang w:val="nl-NL"/>
              </w:rPr>
            </w:pPr>
            <w:r>
              <w:rPr>
                <w:lang w:val="nl-NL"/>
              </w:rPr>
              <w:t>Dulciana</w:t>
            </w:r>
          </w:p>
          <w:p>
            <w:pPr>
              <w:pStyle w:val="T4dispositie"/>
              <w:rPr>
                <w:lang w:val="nl-NL"/>
              </w:rPr>
            </w:pPr>
            <w:r>
              <w:rPr>
                <w:lang w:val="nl-NL"/>
              </w:rPr>
              <w:t>Principal</w:t>
            </w:r>
          </w:p>
          <w:p>
            <w:pPr>
              <w:pStyle w:val="T4dispositie"/>
              <w:rPr>
                <w:lang w:val="nl-NL"/>
              </w:rPr>
            </w:pPr>
            <w:r>
              <w:rPr>
                <w:lang w:val="nl-NL"/>
              </w:rPr>
              <w:t>Waldflöte</w:t>
            </w:r>
          </w:p>
          <w:p>
            <w:pPr>
              <w:pStyle w:val="T4dispositie"/>
              <w:rPr>
                <w:lang w:val="nl-NL"/>
              </w:rPr>
            </w:pPr>
            <w:r>
              <w:rPr>
                <w:lang w:val="nl-NL"/>
              </w:rPr>
              <w:t>Fifteenth</w:t>
            </w:r>
          </w:p>
        </w:tc>
        <w:tc>
          <w:tcPr>
            <w:tcW w:w="567" w:type="dxa"/>
            <w:tcBorders/>
          </w:tcPr>
          <w:p>
            <w:pPr>
              <w:pStyle w:val="T4dispositie"/>
              <w:snapToGrid w:val="false"/>
              <w:rPr>
                <w:lang w:val="nl-NL"/>
              </w:rPr>
            </w:pPr>
            <w:r>
              <w:rPr>
                <w:lang w:val="nl-NL"/>
              </w:rPr>
            </w:r>
          </w:p>
          <w:p>
            <w:pPr>
              <w:pStyle w:val="T4dispositie"/>
              <w:snapToGrid w:val="false"/>
              <w:rPr>
                <w:lang w:val="nl-NL"/>
              </w:rPr>
            </w:pPr>
            <w:r>
              <w:rPr>
                <w:lang w:val="nl-NL"/>
              </w:rPr>
            </w:r>
          </w:p>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c>
          <w:tcPr>
            <w:tcW w:w="1701" w:type="dxa"/>
            <w:tcBorders/>
          </w:tcPr>
          <w:p>
            <w:pPr>
              <w:pStyle w:val="T4dispositie"/>
              <w:snapToGrid w:val="false"/>
              <w:rPr>
                <w:i/>
                <w:i/>
                <w:iCs/>
                <w:lang w:val="nl-NL"/>
              </w:rPr>
            </w:pPr>
            <w:r>
              <w:rPr>
                <w:i/>
                <w:iCs/>
                <w:lang w:val="nl-NL"/>
              </w:rPr>
              <w:t>Swell (II)</w:t>
            </w:r>
          </w:p>
          <w:p>
            <w:pPr>
              <w:pStyle w:val="T4dispositie"/>
              <w:snapToGrid w:val="false"/>
              <w:rPr>
                <w:lang w:val="nl-NL"/>
              </w:rPr>
            </w:pPr>
            <w:r>
              <w:rPr>
                <w:lang w:val="nl-NL"/>
              </w:rPr>
              <w:t>6 stemmen</w:t>
            </w:r>
          </w:p>
          <w:p>
            <w:pPr>
              <w:pStyle w:val="T4dispositie"/>
              <w:snapToGrid w:val="false"/>
              <w:rPr>
                <w:i/>
                <w:i/>
                <w:iCs/>
                <w:lang w:val="nl-NL"/>
              </w:rPr>
            </w:pPr>
            <w:r>
              <w:rPr>
                <w:i/>
                <w:iCs/>
                <w:lang w:val="nl-NL"/>
              </w:rPr>
            </w:r>
          </w:p>
          <w:p>
            <w:pPr>
              <w:pStyle w:val="T4dispositie"/>
              <w:snapToGrid w:val="false"/>
              <w:rPr>
                <w:lang w:val="nl-NL"/>
              </w:rPr>
            </w:pPr>
            <w:r>
              <w:rPr>
                <w:lang w:val="nl-NL"/>
              </w:rPr>
              <w:t>Open Diapason</w:t>
            </w:r>
          </w:p>
          <w:p>
            <w:pPr>
              <w:pStyle w:val="T4dispositie"/>
              <w:snapToGrid w:val="false"/>
              <w:rPr>
                <w:lang w:val="nl-NL"/>
              </w:rPr>
            </w:pPr>
            <w:r>
              <w:rPr>
                <w:lang w:val="nl-NL"/>
              </w:rPr>
              <w:t>Viole d’Amour</w:t>
            </w:r>
          </w:p>
          <w:p>
            <w:pPr>
              <w:pStyle w:val="T4dispositie"/>
              <w:snapToGrid w:val="false"/>
              <w:rPr>
                <w:lang w:val="nl-NL"/>
              </w:rPr>
            </w:pPr>
            <w:r>
              <w:rPr>
                <w:lang w:val="nl-NL"/>
              </w:rPr>
              <w:t>Voix Celestes</w:t>
            </w:r>
          </w:p>
          <w:p>
            <w:pPr>
              <w:pStyle w:val="T4dispositie"/>
              <w:snapToGrid w:val="false"/>
              <w:rPr>
                <w:lang w:val="nl-NL"/>
              </w:rPr>
            </w:pPr>
            <w:r>
              <w:rPr>
                <w:lang w:val="nl-NL"/>
              </w:rPr>
              <w:t>Principal</w:t>
            </w:r>
          </w:p>
          <w:p>
            <w:pPr>
              <w:pStyle w:val="T4dispositie"/>
              <w:snapToGrid w:val="false"/>
              <w:rPr>
                <w:lang w:val="nl-NL"/>
              </w:rPr>
            </w:pPr>
            <w:r>
              <w:rPr>
                <w:lang w:val="nl-NL"/>
              </w:rPr>
              <w:t>Gemshorne</w:t>
            </w:r>
          </w:p>
          <w:p>
            <w:pPr>
              <w:pStyle w:val="T4dispositie"/>
              <w:snapToGrid w:val="false"/>
              <w:rPr>
                <w:lang w:val="nl-NL"/>
              </w:rPr>
            </w:pPr>
            <w:r>
              <w:rPr>
                <w:lang w:val="nl-NL"/>
              </w:rPr>
              <w:t>Oboe</w:t>
            </w:r>
          </w:p>
        </w:tc>
        <w:tc>
          <w:tcPr>
            <w:tcW w:w="567" w:type="dxa"/>
            <w:tcBorders/>
          </w:tcPr>
          <w:p>
            <w:pPr>
              <w:pStyle w:val="T4dispositie"/>
              <w:snapToGrid w:val="false"/>
              <w:rPr>
                <w:lang w:val="nl-NL"/>
              </w:rPr>
            </w:pPr>
            <w:r>
              <w:rPr>
                <w:lang w:val="nl-NL"/>
              </w:rPr>
            </w:r>
          </w:p>
          <w:p>
            <w:pPr>
              <w:pStyle w:val="T4dispositie"/>
              <w:snapToGrid w:val="false"/>
              <w:rPr>
                <w:lang w:val="nl-NL"/>
              </w:rPr>
            </w:pPr>
            <w:r>
              <w:rPr>
                <w:lang w:val="nl-NL"/>
              </w:rPr>
            </w:r>
          </w:p>
          <w:p>
            <w:pPr>
              <w:pStyle w:val="T4dispositie"/>
              <w:snapToGrid w:val="false"/>
              <w:rPr>
                <w:lang w:val="nl-NL"/>
              </w:rPr>
            </w:pPr>
            <w:r>
              <w:rPr>
                <w:lang w:val="nl-NL"/>
              </w:rPr>
            </w:r>
          </w:p>
          <w:p>
            <w:pPr>
              <w:pStyle w:val="T4dispositie"/>
              <w:snapToGrid w:val="false"/>
              <w:rPr>
                <w:lang w:val="nl-NL"/>
              </w:rPr>
            </w:pPr>
            <w:r>
              <w:rPr>
                <w:lang w:val="nl-NL"/>
              </w:rPr>
              <w:t>8'</w:t>
            </w:r>
          </w:p>
          <w:p>
            <w:pPr>
              <w:pStyle w:val="T4dispositie"/>
              <w:snapToGrid w:val="false"/>
              <w:rPr>
                <w:lang w:val="nl-NL"/>
              </w:rPr>
            </w:pPr>
            <w:r>
              <w:rPr>
                <w:lang w:val="nl-NL"/>
              </w:rPr>
              <w:t>8'</w:t>
            </w:r>
          </w:p>
          <w:p>
            <w:pPr>
              <w:pStyle w:val="T4dispositie"/>
              <w:snapToGrid w:val="false"/>
              <w:rPr>
                <w:lang w:val="nl-NL"/>
              </w:rPr>
            </w:pPr>
            <w:r>
              <w:rPr>
                <w:lang w:val="nl-NL"/>
              </w:rPr>
              <w:t>8'</w:t>
            </w:r>
          </w:p>
          <w:p>
            <w:pPr>
              <w:pStyle w:val="T4dispositie"/>
              <w:snapToGrid w:val="false"/>
              <w:rPr>
                <w:lang w:val="nl-NL"/>
              </w:rPr>
            </w:pPr>
            <w:r>
              <w:rPr>
                <w:lang w:val="nl-NL"/>
              </w:rPr>
              <w:t>4'</w:t>
            </w:r>
          </w:p>
          <w:p>
            <w:pPr>
              <w:pStyle w:val="T4dispositie"/>
              <w:snapToGrid w:val="false"/>
              <w:rPr>
                <w:lang w:val="nl-NL"/>
              </w:rPr>
            </w:pPr>
            <w:r>
              <w:rPr>
                <w:lang w:val="nl-NL"/>
              </w:rPr>
              <w:t>2'</w:t>
            </w:r>
          </w:p>
          <w:p>
            <w:pPr>
              <w:pStyle w:val="T4dispositie"/>
              <w:snapToGrid w:val="false"/>
              <w:rPr>
                <w:lang w:val="nl-NL"/>
              </w:rPr>
            </w:pPr>
            <w:r>
              <w:rPr>
                <w:lang w:val="nl-NL"/>
              </w:rPr>
              <w:t>8'</w:t>
            </w:r>
          </w:p>
        </w:tc>
        <w:tc>
          <w:tcPr>
            <w:tcW w:w="1134" w:type="dxa"/>
            <w:tcBorders/>
          </w:tcPr>
          <w:p>
            <w:pPr>
              <w:pStyle w:val="T4dispositie"/>
              <w:snapToGrid w:val="false"/>
              <w:rPr>
                <w:i/>
                <w:i/>
                <w:iCs/>
                <w:lang w:val="nl-NL"/>
              </w:rPr>
            </w:pPr>
            <w:r>
              <w:rPr>
                <w:i/>
                <w:iCs/>
                <w:lang w:val="nl-NL"/>
              </w:rPr>
              <w:t>Pedal</w:t>
            </w:r>
          </w:p>
          <w:p>
            <w:pPr>
              <w:pStyle w:val="T4dispositie"/>
              <w:snapToGrid w:val="false"/>
              <w:rPr>
                <w:lang w:val="nl-NL"/>
              </w:rPr>
            </w:pPr>
            <w:r>
              <w:rPr>
                <w:lang w:val="nl-NL"/>
              </w:rPr>
              <w:t>1 stem</w:t>
            </w:r>
          </w:p>
          <w:p>
            <w:pPr>
              <w:pStyle w:val="T4dispositie"/>
              <w:snapToGrid w:val="false"/>
              <w:rPr>
                <w:i/>
                <w:i/>
                <w:iCs/>
                <w:lang w:val="nl-NL"/>
              </w:rPr>
            </w:pPr>
            <w:r>
              <w:rPr>
                <w:i/>
                <w:iCs/>
                <w:lang w:val="nl-NL"/>
              </w:rPr>
            </w:r>
          </w:p>
          <w:p>
            <w:pPr>
              <w:pStyle w:val="T4dispositie"/>
              <w:snapToGrid w:val="false"/>
              <w:rPr>
                <w:lang w:val="nl-NL"/>
              </w:rPr>
            </w:pPr>
            <w:r>
              <w:rPr>
                <w:lang w:val="nl-NL"/>
              </w:rPr>
              <w:t>Bourdon</w:t>
            </w:r>
          </w:p>
        </w:tc>
        <w:tc>
          <w:tcPr>
            <w:tcW w:w="567" w:type="dxa"/>
            <w:tcBorders/>
          </w:tcPr>
          <w:p>
            <w:pPr>
              <w:pStyle w:val="T4dispositie"/>
              <w:snapToGrid w:val="false"/>
              <w:rPr>
                <w:lang w:val="nl-NL"/>
              </w:rPr>
            </w:pPr>
            <w:r>
              <w:rPr>
                <w:lang w:val="nl-NL"/>
              </w:rPr>
            </w:r>
          </w:p>
          <w:p>
            <w:pPr>
              <w:pStyle w:val="T4dispositie"/>
              <w:snapToGrid w:val="false"/>
              <w:rPr>
                <w:lang w:val="nl-NL"/>
              </w:rPr>
            </w:pPr>
            <w:r>
              <w:rPr>
                <w:lang w:val="nl-NL"/>
              </w:rPr>
            </w:r>
          </w:p>
          <w:p>
            <w:pPr>
              <w:pStyle w:val="T4dispositie"/>
              <w:snapToGrid w:val="false"/>
              <w:rPr>
                <w:lang w:val="nl-NL"/>
              </w:rPr>
            </w:pPr>
            <w:r>
              <w:rPr>
                <w:lang w:val="nl-NL"/>
              </w:rPr>
            </w:r>
          </w:p>
          <w:p>
            <w:pPr>
              <w:pStyle w:val="T4dispositie"/>
              <w:snapToGrid w:val="fals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Swell to Great, Swell Suboctave, Great to Pedals, Swell to Pedals</w:t>
      </w:r>
    </w:p>
    <w:p>
      <w:pPr>
        <w:pStyle w:val="T1"/>
        <w:jc w:val="start"/>
        <w:rPr>
          <w:lang w:val="nl-NL"/>
        </w:rPr>
      </w:pPr>
      <w:r>
        <w:rPr>
          <w:lang w:val="nl-NL"/>
        </w:rPr>
        <w:t>combinatietreden Great Stopped Diapason + Dulciana, Full Great</w:t>
      </w:r>
    </w:p>
    <w:p>
      <w:pPr>
        <w:pStyle w:val="T1"/>
        <w:jc w:val="start"/>
        <w:rPr>
          <w:lang w:val="nl-NL"/>
        </w:rPr>
      </w:pPr>
      <w:r>
        <w:rPr>
          <w:lang w:val="nl-NL"/>
        </w:rPr>
        <w:t>trigger Swell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beweegbare ladebodems</w:t>
      </w:r>
    </w:p>
    <w:p>
      <w:pPr>
        <w:pStyle w:val="T1"/>
        <w:jc w:val="start"/>
        <w:rPr>
          <w:lang w:val="nl-NL"/>
        </w:rPr>
      </w:pPr>
      <w:r>
        <w:rPr>
          <w:lang w:val="nl-NL"/>
        </w:rPr>
        <w:t>Winddruk</w:t>
      </w:r>
    </w:p>
    <w:p>
      <w:pPr>
        <w:pStyle w:val="T1"/>
        <w:jc w:val="start"/>
        <w:rPr>
          <w:lang w:val="nl-NL"/>
        </w:rPr>
      </w:pPr>
      <w:r>
        <w:rPr>
          <w:lang w:val="nl-NL"/>
        </w:rPr>
        <w:t>68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numPr>
          <w:ilvl w:val="0"/>
          <w:numId w:val="0"/>
        </w:numPr>
        <w:ind w:start="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H en c.</w:t>
      </w:r>
    </w:p>
    <w:p>
      <w:pPr>
        <w:pStyle w:val="T1"/>
        <w:jc w:val="start"/>
        <w:rPr>
          <w:lang w:val="nl-NL"/>
        </w:rPr>
      </w:pPr>
      <w:r>
        <w:rPr>
          <w:lang w:val="nl-NL"/>
        </w:rPr>
        <w:t>Dit instrument, opus 693 van de bouwers, bleef vrijwel integraal bewaard. De uitgebouwde klaviatuurbak kan met een deksel worden afgesloten. De registertrekkers zijn in tweemaal twee verticale rijen in schuin aflopende panelen aan weerszijden van de handklavieren aangebracht, links Swell en Couplers, rechts Great en Pedal. De registeropschriften zijn in gotisch lettertype op de registerschildjes op de trekkers aangebracht. De boventoetsen van de handklavieren zijn aan de voorzijden gerond. Van de combinatietreden schakelt de linker het Full Great in, de rechter alleen Stopped Diapason en Dulciana. De registertrekker van de Voix Celestes Swell is gekoppeld aan die van de Viole d’Amour.</w:t>
      </w:r>
    </w:p>
    <w:p>
      <w:pPr>
        <w:pStyle w:val="T1"/>
        <w:jc w:val="start"/>
        <w:rPr/>
      </w:pPr>
      <w:r>
        <w:rPr>
          <w:lang w:val="nl-NL"/>
        </w:rPr>
        <w:t>De windvoorziening bevindt zich in de onderkas. Op de magazijnbalg zijn gietijzeren gewichten met firma-initialen aanwezig. De laden voor Great en Swell liggen achter elkaar gescheiden door een stemgang, voor het Swell is een achttal horizontale jaloezieën aanwezig. De lade van het Great is ingedeeld in hele tonen naar, de Swell-lade in hele tonen vanuit het midden aflopend. De Bourdon 16' Ped staat op een afzonderlijke C- en Cislade langszij. In alle gevallen ligt de C-zijde links. In het front spreken C-Fis en A-B (middenveld) en G-Gis en H-h (buitenvelden, in tertsen) van de Open Diapason 8', de overhoekse metalen frontpijpen zijn loos. In de zijfronten spreken C-H (in tertsen) plus c-cis (geheel achteraan) van de Bourdon 16'. Stopped Diapason 8' (C-cis geronde, d-g</w:t>
      </w:r>
      <w:r>
        <w:rPr>
          <w:vertAlign w:val="superscript"/>
          <w:lang w:val="nl-NL"/>
        </w:rPr>
        <w:t>3</w:t>
      </w:r>
      <w:r>
        <w:rPr>
          <w:lang w:val="nl-NL"/>
        </w:rPr>
        <w:t xml:space="preserve"> vierkante handgrepen, b-g</w:t>
      </w:r>
      <w:r>
        <w:rPr>
          <w:vertAlign w:val="superscript"/>
          <w:lang w:val="nl-NL"/>
        </w:rPr>
        <w:t>3</w:t>
      </w:r>
      <w:r>
        <w:rPr>
          <w:lang w:val="nl-NL"/>
        </w:rPr>
        <w:t xml:space="preserve"> doorboorde stoppen) en Waldflöte 4' (open, metalen stemlappen) van het Great zijn geheel van hout, evenals de Bourdon 16' (geronde handgrepen) Ped. Van het Swell zijn C-Fis (open) van de Open Diapason 8' en C-H (gedekt) van de Viole d’Amour 8' van hout. Dulciana 8</w:t>
      </w:r>
      <w:r>
        <w:rPr/>
        <w:t>'</w:t>
      </w:r>
      <w:r>
        <w:rPr>
          <w:lang w:val="nl-NL"/>
        </w:rPr>
        <w:t xml:space="preserve"> Great en Voix Celestes 8</w:t>
      </w:r>
      <w:r>
        <w:rPr/>
        <w:t>'</w:t>
      </w:r>
      <w:r>
        <w:rPr>
          <w:lang w:val="nl-NL"/>
        </w:rPr>
        <w:t xml:space="preserve"> Swell beginnen op c. De Gemshorn 2</w:t>
      </w:r>
      <w:r>
        <w:rPr/>
        <w:t>'</w:t>
      </w:r>
      <w:r>
        <w:rPr>
          <w:lang w:val="nl-NL"/>
        </w:rPr>
        <w:t xml:space="preserve"> is flauw conisch. C-c van de Open Diapason 8' van het Swell zijn verkropt. De prestantregisters hebben zijbaarden tot 1'-lengte, de drie strijkers t/m h</w:t>
      </w:r>
      <w:r>
        <w:rPr>
          <w:vertAlign w:val="superscript"/>
          <w:lang w:val="nl-NL"/>
        </w:rPr>
        <w:t>2</w:t>
      </w:r>
      <w:r>
        <w:rPr>
          <w:lang w:val="nl-NL"/>
        </w:rPr>
        <w:t>. Het open metalen binnenpijpwerk is merendeels op lengte afgesneden, incidenteel zijn steminsnijdingen in de grotere pijpen aangebracht. De Oboe 8' heeft metalen koppen en stevels, c-g</w:t>
      </w:r>
      <w:r>
        <w:rPr>
          <w:vertAlign w:val="superscript"/>
          <w:lang w:val="nl-NL"/>
        </w:rPr>
        <w:t>3</w:t>
      </w:r>
      <w:r>
        <w:rPr>
          <w:lang w:val="nl-NL"/>
        </w:rPr>
        <w:t xml:space="preserve"> zijn halfgedekt. C-H en b</w:t>
      </w:r>
      <w:r>
        <w:rPr>
          <w:vertAlign w:val="superscript"/>
          <w:lang w:val="nl-NL"/>
        </w:rPr>
        <w:t>2</w:t>
      </w:r>
      <w:r>
        <w:rPr>
          <w:lang w:val="nl-NL"/>
        </w:rPr>
        <w:t>-g</w:t>
      </w:r>
      <w:r>
        <w:rPr>
          <w:vertAlign w:val="superscript"/>
          <w:lang w:val="nl-NL"/>
        </w:rPr>
        <w:t>3</w:t>
      </w:r>
      <w:r>
        <w:rPr>
          <w:lang w:val="nl-NL"/>
        </w:rPr>
        <w:t xml:space="preserve"> hebben trechtervormige bekers, c-a</w:t>
      </w:r>
      <w:r>
        <w:rPr>
          <w:vertAlign w:val="superscript"/>
          <w:lang w:val="nl-NL"/>
        </w:rPr>
        <w:t>2</w:t>
      </w:r>
      <w:r>
        <w:rPr>
          <w:lang w:val="nl-NL"/>
        </w:rPr>
        <w:t xml:space="preserve"> een samengestelde hobobekervorm.</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OpenSymbol">
    <w:altName w:val="Arial Unicode MS"/>
    <w:charset w:val="80"/>
    <w:family w:val="auto"/>
    <w:pitch w:val="default"/>
  </w:font>
  <w:font w:name="Tahoma">
    <w:charset w:val="00" w:characterSet="windows-1252"/>
    <w:family w:val="swiss"/>
    <w:pitch w:val="variable"/>
  </w:font>
  <w:font w:name="Univers">
    <w:altName w:val="Arial"/>
    <w:charset w:val="00" w:characterSet="windows-1252"/>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432"/>
        </w:tabs>
        <w:ind w:start="432" w:hanging="432"/>
      </w:pPr>
      <w:rPr/>
    </w:lvl>
    <w:lvl w:ilvl="1">
      <w:start w:val="1"/>
      <w:pStyle w:val="Heading2"/>
      <w:numFmt w:val="none"/>
      <w:suff w:val="nothing"/>
      <w:lvlText w:val=""/>
      <w:lvlJc w:val="start"/>
      <w:pPr>
        <w:tabs>
          <w:tab w:val="num" w:pos="576"/>
        </w:tabs>
        <w:ind w:start="576" w:hanging="576"/>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paragraph" w:styleId="Heading3">
    <w:name w:val="Heading 3"/>
    <w:basedOn w:val="Normal"/>
    <w:next w:val="Normal"/>
    <w:qFormat/>
    <w:pPr>
      <w:keepNext w:val="true"/>
      <w:widowControl/>
      <w:suppressAutoHyphens w:val="false"/>
      <w:outlineLvl w:val="2"/>
    </w:pPr>
    <w:rPr>
      <w:rFonts w:ascii="Times New Roman" w:hAnsi="Times New Roman" w:cs="Times New Roman"/>
      <w:b/>
      <w:bCs/>
      <w:sz w:val="20"/>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AbsatzStandardschriftart">
    <w:name w:val="Absatz-Standardschriftart"/>
    <w:qFormat/>
    <w:rPr/>
  </w:style>
  <w:style w:type="character" w:styleId="WWStandaardalinealettertype">
    <w:name w:val="WW-Standaardalinea-lettertype"/>
    <w:qFormat/>
    <w:rPr/>
  </w:style>
  <w:style w:type="character" w:styleId="Bullets">
    <w:name w:val="Bullets"/>
    <w:qFormat/>
    <w:rPr>
      <w:rFonts w:ascii="OpenSymbol;Arial Unicode MS" w:hAnsi="OpenSymbol;Arial Unicode MS" w:eastAsia="OpenSymbol;Arial Unicode MS" w:cs="OpenSymbol;Arial Unicode MS"/>
    </w:rPr>
  </w:style>
  <w:style w:type="paragraph" w:styleId="Heading">
    <w:name w:val="Heading"/>
    <w:basedOn w:val="Normal"/>
    <w:next w:val="TextBody"/>
    <w:qFormat/>
    <w:pPr>
      <w:keepNext w:val="true"/>
      <w:spacing w:before="240" w:after="120"/>
    </w:pPr>
    <w:rPr>
      <w:rFonts w:ascii="Arial" w:hAnsi="Arial" w:eastAsia="DejaVu Sans;Times New Roman" w:cs="DejaVu Sans;Times New Roman"/>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2010-03-16T00:08:00Z</dcterms:created>
  <dc:creator>WS1</dc:creator>
  <dc:description/>
  <dc:language>en-US</dc:language>
  <cp:lastModifiedBy>Hans</cp:lastModifiedBy>
  <dcterms:modified xsi:type="dcterms:W3CDTF">2010-03-16T00:08:00Z</dcterms:modified>
  <cp:revision>2</cp:revision>
  <dc:subject/>
  <dc:title>Gaast / 1860</dc:title>
</cp:coreProperties>
</file>