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Vorden</w:t>
        <w:noBreakHyphen/>
        <w:t>Kranenburg / ca 1880</w:t>
      </w:r>
    </w:p>
    <w:p>
      <w:pPr>
        <w:pStyle w:val="Heading2"/>
        <w:rPr>
          <w:i w:val="false"/>
          <w:i w:val="false"/>
          <w:iCs/>
        </w:rPr>
      </w:pPr>
      <w:r>
        <w:rPr>
          <w:i w:val="false"/>
          <w:iCs/>
        </w:rPr>
        <w:t>Voormalige R.K. Kerk H. Antonius van Padua</w:t>
      </w:r>
    </w:p>
    <w:p>
      <w:pPr>
        <w:pStyle w:val="T1"/>
        <w:rPr>
          <w:i/>
          <w:i/>
          <w:iCs/>
          <w:lang w:val="nl-NL"/>
        </w:rPr>
      </w:pPr>
      <w:r>
        <w:rPr>
          <w:i/>
          <w:iCs/>
          <w:lang w:val="nl-NL"/>
        </w:rPr>
      </w:r>
    </w:p>
    <w:p>
      <w:pPr>
        <w:pStyle w:val="Normal"/>
        <w:tabs>
          <w:tab w:val="clear" w:pos="720"/>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kruisbasiliek met toren uit 1856, de oudste bewaard gebleven kerk van de architect P.J.H. Cuypers. Inwendig slanke pijlers en stenen kruisribgewelven. De oorspronkelijke polychromie is alleen bewaard gebleven in de zangersruimte in de toren.</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ca 1880</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Op de in de toren gelegen koortribune bevindt zich dit uitzonderlijk neogotisch orgel. Het is vanuit de kerk nauwelijks zichtbaar aangezien het dwars, tegen de zijmuur van de koorruimte is geplaatst. Het instrument kan worden beschouwd als een orgel met voorkantbespeling.</w:t>
      </w:r>
    </w:p>
    <w:p>
      <w:pPr>
        <w:pStyle w:val="T2Kunst"/>
        <w:jc w:val="start"/>
        <w:rPr>
          <w:lang w:val="nl-NL"/>
        </w:rPr>
      </w:pPr>
      <w:r>
        <w:rPr>
          <w:lang w:val="nl-NL"/>
        </w:rPr>
        <w:t>De orgelkas kent drie verticale geledingen. De middelste geleding bevat de klaviatuur, welke samen met de registerborden enigszins uitgebouwd is. Iets hoger dan deze klaviatuuruitbouw bevindt zich een tussenlijst die de kas in een onder- en bovenkas verdeelt. De onderkas bevat aan weerskanten van de klavieruitbouw deuren die toegang geven tot het binnenwerk.</w:t>
      </w:r>
    </w:p>
    <w:p>
      <w:pPr>
        <w:pStyle w:val="T2Kunst"/>
        <w:jc w:val="start"/>
        <w:rPr>
          <w:lang w:val="nl-NL"/>
        </w:rPr>
      </w:pPr>
      <w:r>
        <w:rPr>
          <w:lang w:val="nl-NL"/>
        </w:rPr>
        <w:t>In de onderkas zijn op verschillende plaatsen briefpanelen toegepast. Ze zijn te zien tussen de klaviatuuruitbouw en het frontveld, in het knieschot, en in de onderste helft van de beide toegangsdeuren. De bovenste helft van de deuren is opengewerkt. Door middel van een ruitvormige opzet zijn hier zowel vierpassen, hartvormen als veelhoekige openingen gemaakt.</w:t>
      </w:r>
    </w:p>
    <w:p>
      <w:pPr>
        <w:pStyle w:val="T2Kunst"/>
        <w:jc w:val="start"/>
        <w:rPr>
          <w:lang w:val="nl-NL"/>
        </w:rPr>
      </w:pPr>
      <w:r>
        <w:rPr>
          <w:lang w:val="nl-NL"/>
        </w:rPr>
        <w:t>De bovenkas heeft slechts één vlak frontveld met negen pijpen. Het bevindt zich in de middelste geleding, boven de klaviatuuruitbouw. Als bekroning is boven het pijpenveld een beeld geplaatst.</w:t>
      </w:r>
    </w:p>
    <w:p>
      <w:pPr>
        <w:pStyle w:val="T2Kunst"/>
        <w:jc w:val="start"/>
        <w:rPr>
          <w:lang w:val="nl-NL"/>
        </w:rPr>
      </w:pPr>
      <w:r>
        <w:rPr>
          <w:lang w:val="nl-NL"/>
        </w:rPr>
        <w:t>De beide zijpartijen van de bovenkas bevatten uitsluitend openingen voor de klankdoorgifte. Onder- en bovenaan twee reeksen van drie ronde openingen boven elkaar, daar tussenin drie langwerpige openingen. De rechte bovenlijst van de zijpartijen wordt bekroond door balustrades.</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J.F. van Os, </w:t>
      </w:r>
      <w:r>
        <w:rPr>
          <w:i/>
          <w:iCs/>
          <w:lang w:val="nl-NL"/>
        </w:rPr>
        <w:t>Oude Orgels in Oost-Gelderland</w:t>
      </w:r>
      <w:r>
        <w:rPr>
          <w:lang w:val="nl-NL"/>
        </w:rPr>
        <w:t>. Elburg, 2004, 113-115.</w:t>
      </w:r>
    </w:p>
    <w:p>
      <w:pPr>
        <w:pStyle w:val="T3Lit"/>
        <w:rPr>
          <w:b/>
          <w:b/>
          <w:bCs/>
          <w:lang w:val="nl-NL"/>
        </w:rPr>
      </w:pPr>
      <w:r>
        <w:rPr>
          <w:b/>
          <w:bCs/>
          <w:lang w:val="nl-NL"/>
        </w:rPr>
      </w:r>
    </w:p>
    <w:p>
      <w:pPr>
        <w:pStyle w:val="T3Lit"/>
        <w:rPr>
          <w:b/>
          <w:b/>
          <w:bCs/>
          <w:lang w:val="nl-NL"/>
        </w:rPr>
      </w:pPr>
      <w:r>
        <w:rPr>
          <w:b/>
          <w:bCs/>
          <w:lang w:val="nl-NL"/>
        </w:rPr>
        <w:t>Niet gepubliceerde bronnen</w:t>
      </w:r>
    </w:p>
    <w:p>
      <w:pPr>
        <w:pStyle w:val="T3Lit"/>
        <w:rPr>
          <w:lang w:val="nl-NL"/>
        </w:rPr>
      </w:pPr>
      <w:r>
        <w:rPr>
          <w:lang w:val="nl-NL"/>
        </w:rPr>
        <w:t>Archief Flentrop Orgelbouw.</w:t>
      </w:r>
    </w:p>
    <w:p>
      <w:pPr>
        <w:pStyle w:val="T3Lit"/>
        <w:rPr>
          <w:lang w:val="nl-NL"/>
        </w:rPr>
      </w:pPr>
      <w:r>
        <w:rPr>
          <w:lang w:val="nl-NL"/>
        </w:rPr>
        <w:t>Parochie</w:t>
        <w:noBreakHyphen/>
        <w:t>archief Vorden, met dank aan W. van Kuilenburg.</w:t>
      </w:r>
    </w:p>
    <w:p>
      <w:pPr>
        <w:pStyle w:val="T3Lit"/>
        <w:rPr>
          <w:lang w:val="nl-NL"/>
        </w:rPr>
      </w:pPr>
      <w:r>
        <w:rPr>
          <w:lang w:val="nl-NL"/>
        </w:rPr>
      </w:r>
    </w:p>
    <w:p>
      <w:pPr>
        <w:pStyle w:val="T3Lit"/>
        <w:rPr>
          <w:lang w:val="nl-NL"/>
        </w:rPr>
      </w:pPr>
      <w:r>
        <w:rPr>
          <w:lang w:val="nl-NL"/>
        </w:rPr>
        <w:t>Monumentnummer 38136</w:t>
      </w:r>
    </w:p>
    <w:p>
      <w:pPr>
        <w:pStyle w:val="T3Lit"/>
        <w:rPr>
          <w:lang w:val="nl-NL"/>
        </w:rPr>
      </w:pPr>
      <w:r>
        <w:rPr>
          <w:lang w:val="nl-NL"/>
        </w:rPr>
        <w:t>Orgelnummer 810</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onbekend</w:t>
      </w:r>
    </w:p>
    <w:p>
      <w:pPr>
        <w:pStyle w:val="T1"/>
        <w:rPr>
          <w:lang w:val="nl-NL"/>
        </w:rPr>
      </w:pPr>
      <w:r>
        <w:rPr>
          <w:lang w:val="nl-NL"/>
        </w:rPr>
        <w:t>2. fa Winkels &amp; Zn</w:t>
      </w:r>
    </w:p>
    <w:p>
      <w:pPr>
        <w:pStyle w:val="T1"/>
        <w:rPr>
          <w:lang w:val="nl-NL"/>
        </w:rPr>
      </w:pPr>
      <w:r>
        <w:rPr>
          <w:lang w:val="nl-NL"/>
        </w:rPr>
        <w:t>3. Gebr. Vermeulen</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ca 1880</w:t>
      </w:r>
    </w:p>
    <w:p>
      <w:pPr>
        <w:pStyle w:val="T1"/>
        <w:rPr>
          <w:lang w:val="nl-NL"/>
        </w:rPr>
      </w:pPr>
      <w:r>
        <w:rPr>
          <w:lang w:val="nl-NL"/>
        </w:rPr>
        <w:t>2. 1911</w:t>
      </w:r>
    </w:p>
    <w:p>
      <w:pPr>
        <w:pStyle w:val="T1"/>
        <w:rPr>
          <w:lang w:val="nl-NL"/>
        </w:rPr>
      </w:pPr>
      <w:r>
        <w:rPr>
          <w:lang w:val="nl-NL"/>
        </w:rPr>
        <w:t>3. 1964</w:t>
      </w:r>
    </w:p>
    <w:p>
      <w:pPr>
        <w:pStyle w:val="T1"/>
        <w:rPr>
          <w:lang w:val="nl-NL"/>
        </w:rPr>
      </w:pPr>
      <w:r>
        <w:rPr>
          <w:lang w:val="nl-NL"/>
        </w:rPr>
      </w:r>
    </w:p>
    <w:p>
      <w:pPr>
        <w:pStyle w:val="T1"/>
        <w:rPr>
          <w:lang w:val="nl-NL"/>
        </w:rPr>
      </w:pPr>
      <w:r>
        <w:rPr>
          <w:lang w:val="nl-NL"/>
        </w:rPr>
        <w:t>fa Winkels &amp; Zn 1911</w:t>
      </w:r>
    </w:p>
    <w:p>
      <w:pPr>
        <w:pStyle w:val="T1"/>
        <w:numPr>
          <w:ilvl w:val="0"/>
          <w:numId w:val="2"/>
        </w:numPr>
        <w:rPr>
          <w:lang w:val="nl-NL"/>
        </w:rPr>
      </w:pPr>
      <w:r>
        <w:rPr>
          <w:lang w:val="nl-NL"/>
        </w:rPr>
        <w:t>orgel verbouwd en uitgebreid</w:t>
      </w:r>
    </w:p>
    <w:p>
      <w:pPr>
        <w:pStyle w:val="T1"/>
        <w:rPr>
          <w:lang w:val="nl-NL"/>
        </w:rPr>
      </w:pPr>
      <w:r>
        <w:rPr>
          <w:lang w:val="nl-NL"/>
        </w:rPr>
      </w:r>
    </w:p>
    <w:p>
      <w:pPr>
        <w:pStyle w:val="T1"/>
        <w:rPr>
          <w:lang w:val="nl-NL"/>
        </w:rPr>
      </w:pPr>
      <w:r>
        <w:rPr>
          <w:lang w:val="nl-NL"/>
        </w:rPr>
        <w:t>Onbekend moment</w:t>
      </w:r>
    </w:p>
    <w:p>
      <w:pPr>
        <w:pStyle w:val="T1"/>
        <w:numPr>
          <w:ilvl w:val="0"/>
          <w:numId w:val="2"/>
        </w:numPr>
        <w:rPr>
          <w:lang w:val="nl-NL"/>
        </w:rPr>
      </w:pPr>
      <w:r>
        <w:rPr>
          <w:lang w:val="nl-NL"/>
        </w:rPr>
        <w:t>+ Bourdon 16'</w:t>
      </w:r>
    </w:p>
    <w:p>
      <w:pPr>
        <w:pStyle w:val="T1"/>
        <w:rPr>
          <w:lang w:val="nl-NL"/>
        </w:rPr>
      </w:pPr>
      <w:r>
        <w:rPr>
          <w:lang w:val="nl-NL"/>
        </w:rPr>
      </w:r>
    </w:p>
    <w:p>
      <w:pPr>
        <w:pStyle w:val="T1"/>
        <w:rPr>
          <w:lang w:val="nl-NL"/>
        </w:rPr>
      </w:pPr>
      <w:r>
        <w:rPr>
          <w:lang w:val="nl-NL"/>
        </w:rPr>
        <w:t>Gebr. Vermeulen 1938</w:t>
      </w:r>
    </w:p>
    <w:p>
      <w:pPr>
        <w:pStyle w:val="T1"/>
        <w:numPr>
          <w:ilvl w:val="0"/>
          <w:numId w:val="2"/>
        </w:numPr>
        <w:rPr>
          <w:lang w:val="nl-NL"/>
        </w:rPr>
      </w:pPr>
      <w:r>
        <w:rPr>
          <w:lang w:val="nl-NL"/>
        </w:rPr>
        <w:t>windvoorziening gewijzigd</w:t>
      </w:r>
    </w:p>
    <w:p>
      <w:pPr>
        <w:pStyle w:val="T1"/>
        <w:rPr>
          <w:lang w:val="nl-NL"/>
        </w:rPr>
      </w:pPr>
      <w:r>
        <w:rPr>
          <w:lang w:val="nl-NL"/>
        </w:rPr>
      </w:r>
    </w:p>
    <w:p>
      <w:pPr>
        <w:pStyle w:val="T1"/>
        <w:rPr/>
      </w:pPr>
      <w:r>
        <w:rPr/>
        <w:t xml:space="preserve">Dispositie 1961 volgens archief Gebr. Vermeulen </w:t>
      </w:r>
    </w:p>
    <w:tbl>
      <w:tblPr>
        <w:tblW w:w="4535" w:type="dxa"/>
        <w:jc w:val="start"/>
        <w:tblInd w:w="0" w:type="dxa"/>
        <w:tblLayout w:type="fixed"/>
        <w:tblCellMar>
          <w:top w:w="0" w:type="dxa"/>
          <w:start w:w="0" w:type="dxa"/>
          <w:bottom w:w="0" w:type="dxa"/>
          <w:end w:w="0" w:type="dxa"/>
        </w:tblCellMar>
      </w:tblPr>
      <w:tblGrid>
        <w:gridCol w:w="1530"/>
        <w:gridCol w:w="737"/>
        <w:gridCol w:w="1531"/>
        <w:gridCol w:w="737"/>
      </w:tblGrid>
      <w:tr>
        <w:trPr/>
        <w:tc>
          <w:tcPr>
            <w:tcW w:w="1530"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 B/D</w:t>
            </w:r>
          </w:p>
        </w:tc>
        <w:tc>
          <w:tcPr>
            <w:tcW w:w="737"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2-3 st.</w:t>
            </w:r>
          </w:p>
          <w:p>
            <w:pPr>
              <w:pStyle w:val="T4dispositie"/>
              <w:rPr>
                <w:lang w:val="nl-NL"/>
              </w:rPr>
            </w:pPr>
            <w:r>
              <w:rPr>
                <w:lang w:val="nl-NL"/>
              </w:rPr>
              <w:t>3 st.</w:t>
            </w:r>
          </w:p>
          <w:p>
            <w:pPr>
              <w:pStyle w:val="T4dispositie"/>
              <w:rPr>
                <w:lang w:val="nl-NL"/>
              </w:rPr>
            </w:pPr>
            <w:r>
              <w:rPr>
                <w:lang w:val="nl-NL"/>
              </w:rPr>
              <w:t>8'</w:t>
            </w:r>
          </w:p>
        </w:tc>
        <w:tc>
          <w:tcPr>
            <w:tcW w:w="1531" w:type="dxa"/>
            <w:tcBorders/>
          </w:tcPr>
          <w:p>
            <w:pPr>
              <w:pStyle w:val="T4dispositie"/>
              <w:rPr>
                <w:i/>
                <w:i/>
                <w:iCs/>
                <w:lang w:val="nl-NL"/>
              </w:rPr>
            </w:pPr>
            <w:r>
              <w:rPr>
                <w:i/>
                <w:iCs/>
                <w:lang w:val="nl-NL"/>
              </w:rPr>
              <w:t>Manuaal II</w:t>
            </w:r>
          </w:p>
          <w:p>
            <w:pPr>
              <w:pStyle w:val="T4dispositie"/>
              <w:rPr>
                <w:lang w:val="nl-NL"/>
              </w:rPr>
            </w:pPr>
            <w:r>
              <w:rPr>
                <w:lang w:val="nl-NL"/>
              </w:rPr>
              <w:t>Bourdon D</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Vox Celeste</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Dwarsfluit</w:t>
            </w:r>
          </w:p>
          <w:p>
            <w:pPr>
              <w:pStyle w:val="T4dispositie"/>
              <w:rPr>
                <w:lang w:val="nl-NL"/>
              </w:rPr>
            </w:pPr>
            <w:r>
              <w:rPr>
                <w:lang w:val="nl-NL"/>
              </w:rPr>
              <w:t>Piccolo</w:t>
            </w:r>
          </w:p>
          <w:p>
            <w:pPr>
              <w:pStyle w:val="T4dispositie"/>
              <w:rPr>
                <w:lang w:val="nl-NL"/>
              </w:rPr>
            </w:pPr>
            <w:r>
              <w:rPr>
                <w:lang w:val="nl-NL"/>
              </w:rPr>
              <w:t>Euphone B</w:t>
            </w:r>
          </w:p>
          <w:p>
            <w:pPr>
              <w:pStyle w:val="T4dispositie"/>
              <w:rPr>
                <w:lang w:val="nl-NL"/>
              </w:rPr>
            </w:pPr>
            <w:r>
              <w:rPr>
                <w:lang w:val="nl-NL"/>
              </w:rPr>
              <w:t>Hobo D</w:t>
            </w:r>
          </w:p>
        </w:tc>
        <w:tc>
          <w:tcPr>
            <w:tcW w:w="737"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manuaal I-manuaal II</w:t>
      </w:r>
    </w:p>
    <w:p>
      <w:pPr>
        <w:pStyle w:val="T4dispositie"/>
        <w:rPr>
          <w:lang w:val="nl-NL"/>
        </w:rPr>
      </w:pPr>
      <w:r>
        <w:rPr>
          <w:lang w:val="nl-NL"/>
        </w:rPr>
        <w:t>pedaal-manuaal I</w:t>
      </w:r>
    </w:p>
    <w:p>
      <w:pPr>
        <w:pStyle w:val="T4dispositie"/>
        <w:rPr>
          <w:lang w:val="nl-NL"/>
        </w:rPr>
      </w:pPr>
      <w:r>
        <w:rPr>
          <w:lang w:val="nl-NL"/>
        </w:rPr>
        <w:t>pedaal-manuaal II</w:t>
      </w:r>
    </w:p>
    <w:p>
      <w:pPr>
        <w:pStyle w:val="T4dispositie"/>
        <w:rPr>
          <w:lang w:val="nl-NL"/>
        </w:rPr>
      </w:pPr>
      <w:r>
        <w:rPr>
          <w:lang w:val="nl-NL"/>
        </w:rPr>
      </w:r>
    </w:p>
    <w:p>
      <w:pPr>
        <w:pStyle w:val="T1"/>
        <w:rPr>
          <w:lang w:val="nl-NL"/>
        </w:rPr>
      </w:pPr>
      <w:r>
        <w:rPr>
          <w:lang w:val="nl-NL"/>
        </w:rPr>
        <w:t>Gebr. Vermeulen 1964</w:t>
      </w:r>
    </w:p>
    <w:p>
      <w:pPr>
        <w:pStyle w:val="T1"/>
        <w:numPr>
          <w:ilvl w:val="0"/>
          <w:numId w:val="2"/>
        </w:numPr>
        <w:rPr>
          <w:lang w:val="nl-NL"/>
        </w:rPr>
      </w:pPr>
      <w:r>
        <w:rPr>
          <w:lang w:val="nl-NL"/>
        </w:rPr>
        <w:t>orgel gewijzigd en uitgebreid met vrij pedaal</w:t>
      </w:r>
    </w:p>
    <w:p>
      <w:pPr>
        <w:pStyle w:val="T1"/>
        <w:numPr>
          <w:ilvl w:val="0"/>
          <w:numId w:val="2"/>
        </w:numPr>
        <w:rPr>
          <w:lang w:val="nl-NL"/>
        </w:rPr>
      </w:pPr>
      <w:r>
        <w:rPr>
          <w:lang w:val="nl-NL"/>
        </w:rPr>
        <w:t>Bourdon 16' (HW) deels op pneumatische lade geplaatst ten behoeve van vrij pedaal</w:t>
      </w:r>
    </w:p>
    <w:p>
      <w:pPr>
        <w:pStyle w:val="T1"/>
        <w:numPr>
          <w:ilvl w:val="0"/>
          <w:numId w:val="2"/>
        </w:numPr>
        <w:rPr>
          <w:lang w:val="nl-NL"/>
        </w:rPr>
      </w:pPr>
      <w:r>
        <w:rPr>
          <w:lang w:val="nl-NL"/>
        </w:rPr>
        <w:t>windladen hersteld en gewijzigd</w:t>
      </w:r>
    </w:p>
    <w:p>
      <w:pPr>
        <w:pStyle w:val="T1"/>
        <w:numPr>
          <w:ilvl w:val="0"/>
          <w:numId w:val="2"/>
        </w:numPr>
        <w:rPr>
          <w:lang w:val="nl-NL"/>
        </w:rPr>
      </w:pPr>
      <w:r>
        <w:rPr>
          <w:lang w:val="nl-NL"/>
        </w:rPr>
        <w:t>pijpwerk hersteld</w:t>
      </w:r>
    </w:p>
    <w:p>
      <w:pPr>
        <w:pStyle w:val="T1"/>
        <w:numPr>
          <w:ilvl w:val="0"/>
          <w:numId w:val="2"/>
        </w:numPr>
        <w:rPr>
          <w:lang w:val="nl-NL"/>
        </w:rPr>
      </w:pPr>
      <w:r>
        <w:rPr>
          <w:lang w:val="nl-NL"/>
        </w:rPr>
        <w:t>dispositiewijzigingen:</w:t>
      </w:r>
    </w:p>
    <w:p>
      <w:pPr>
        <w:pStyle w:val="T1"/>
        <w:ind w:start="720" w:hanging="0"/>
        <w:rPr>
          <w:lang w:val="nl-NL"/>
        </w:rPr>
      </w:pPr>
      <w:r>
        <w:rPr>
          <w:lang w:val="nl-NL"/>
        </w:rPr>
        <w:t>HW - Bourdon 16', - Gamba 8', + Fluit 4', + Octaaf 2'; Mixtuur en Trompet 8' vervangen</w:t>
      </w:r>
    </w:p>
    <w:p>
      <w:pPr>
        <w:pStyle w:val="T1"/>
        <w:ind w:start="720" w:hanging="0"/>
        <w:rPr>
          <w:lang w:val="nl-NL"/>
        </w:rPr>
      </w:pPr>
      <w:r>
        <w:rPr>
          <w:lang w:val="nl-NL"/>
        </w:rPr>
        <w:t>OP - Bourdon D 16', - Dwarsfluit 4', + Sesquialter D 2 st., + Quint 1 1/3'</w:t>
      </w:r>
    </w:p>
    <w:p>
      <w:pPr>
        <w:pStyle w:val="T1"/>
        <w:ind w:start="720" w:hanging="0"/>
        <w:rPr>
          <w:lang w:val="nl-NL"/>
        </w:rPr>
      </w:pPr>
      <w:r>
        <w:rPr>
          <w:lang w:val="nl-NL"/>
        </w:rPr>
        <w:t>Ped + Subbas 16' (van HW)</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positief, pedaal</w:t>
      </w:r>
    </w:p>
    <w:p>
      <w:pPr>
        <w:pStyle w:val="T1"/>
        <w:rPr>
          <w:lang w:val="nl-NL"/>
        </w:rPr>
      </w:pPr>
      <w:r>
        <w:rPr>
          <w:lang w:val="nl-NL"/>
        </w:rPr>
      </w:r>
    </w:p>
    <w:p>
      <w:pPr>
        <w:pStyle w:val="T1"/>
        <w:rPr/>
      </w:pPr>
      <w:r>
        <w:rPr/>
        <w:t>Dispositie</w:t>
      </w:r>
    </w:p>
    <w:tbl>
      <w:tblPr>
        <w:tblW w:w="6803" w:type="dxa"/>
        <w:jc w:val="start"/>
        <w:tblInd w:w="0" w:type="dxa"/>
        <w:tblLayout w:type="fixed"/>
        <w:tblCellMar>
          <w:top w:w="0" w:type="dxa"/>
          <w:start w:w="0" w:type="dxa"/>
          <w:bottom w:w="0" w:type="dxa"/>
          <w:end w:w="0" w:type="dxa"/>
        </w:tblCellMar>
      </w:tblPr>
      <w:tblGrid>
        <w:gridCol w:w="1530"/>
        <w:gridCol w:w="737"/>
        <w:gridCol w:w="1986"/>
        <w:gridCol w:w="709"/>
        <w:gridCol w:w="1104"/>
        <w:gridCol w:w="737"/>
      </w:tblGrid>
      <w:tr>
        <w:trPr/>
        <w:tc>
          <w:tcPr>
            <w:tcW w:w="153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3 st.</w:t>
            </w:r>
          </w:p>
          <w:p>
            <w:pPr>
              <w:pStyle w:val="T4dispositie"/>
              <w:rPr>
                <w:lang w:val="nl-NL"/>
              </w:rPr>
            </w:pPr>
            <w:r>
              <w:rPr>
                <w:lang w:val="nl-NL"/>
              </w:rPr>
              <w:t>8'</w:t>
            </w:r>
          </w:p>
        </w:tc>
        <w:tc>
          <w:tcPr>
            <w:tcW w:w="1986" w:type="dxa"/>
            <w:tcBorders/>
          </w:tcPr>
          <w:p>
            <w:pPr>
              <w:pStyle w:val="T4dispositie"/>
              <w:rPr>
                <w:i/>
                <w:i/>
                <w:iCs/>
                <w:lang w:val="nl-NL"/>
              </w:rPr>
            </w:pPr>
            <w:r>
              <w:rPr>
                <w:i/>
                <w:iCs/>
                <w:lang w:val="nl-NL"/>
              </w:rPr>
              <w:t>Positief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Vox coelestis</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Picolo</w:t>
            </w:r>
          </w:p>
          <w:p>
            <w:pPr>
              <w:pStyle w:val="T4dispositie"/>
              <w:rPr>
                <w:lang w:val="nl-NL"/>
              </w:rPr>
            </w:pPr>
            <w:r>
              <w:rPr>
                <w:lang w:val="nl-NL"/>
              </w:rPr>
              <w:t>Quint</w:t>
            </w:r>
          </w:p>
          <w:p>
            <w:pPr>
              <w:pStyle w:val="T4dispositie"/>
              <w:rPr>
                <w:lang w:val="nl-NL"/>
              </w:rPr>
            </w:pPr>
            <w:r>
              <w:rPr>
                <w:lang w:val="nl-NL"/>
              </w:rPr>
              <w:t>Sesquialter</w:t>
            </w:r>
          </w:p>
          <w:p>
            <w:pPr>
              <w:pStyle w:val="T4dispositie"/>
              <w:rPr>
                <w:lang w:val="nl-NL"/>
              </w:rPr>
            </w:pPr>
            <w:r>
              <w:rPr>
                <w:lang w:val="nl-NL"/>
              </w:rPr>
              <w:t>Euphone B/Hautbois D</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2 st.</w:t>
            </w:r>
          </w:p>
          <w:p>
            <w:pPr>
              <w:pStyle w:val="T4dispositie"/>
              <w:rPr>
                <w:lang w:val="nl-NL"/>
              </w:rPr>
            </w:pPr>
            <w:r>
              <w:rPr>
                <w:lang w:val="nl-NL"/>
              </w:rPr>
              <w:t>8'</w:t>
            </w:r>
          </w:p>
        </w:tc>
        <w:tc>
          <w:tcPr>
            <w:tcW w:w="1104"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HW-Pos, Ped-HW, Ped-Pos</w:t>
      </w:r>
    </w:p>
    <w:p>
      <w:pPr>
        <w:pStyle w:val="T1"/>
        <w:rPr>
          <w:lang w:val="nl-NL"/>
        </w:rPr>
      </w:pPr>
      <w:r>
        <w:rPr>
          <w:lang w:val="nl-NL"/>
        </w:rPr>
      </w:r>
    </w:p>
    <w:p>
      <w:pPr>
        <w:pStyle w:val="T1"/>
        <w:rPr>
          <w:lang w:val="nl-NL"/>
        </w:rPr>
      </w:pPr>
      <w:r>
        <w:rPr>
          <w:lang w:val="nl-NL"/>
        </w:rPr>
        <w:t>Samenstelling vulstemmen</w:t>
      </w:r>
    </w:p>
    <w:tbl>
      <w:tblPr>
        <w:tblW w:w="3472" w:type="dxa"/>
        <w:jc w:val="start"/>
        <w:tblInd w:w="-70" w:type="dxa"/>
        <w:tblLayout w:type="fixed"/>
        <w:tblCellMar>
          <w:top w:w="0" w:type="dxa"/>
          <w:start w:w="70" w:type="dxa"/>
          <w:bottom w:w="0" w:type="dxa"/>
          <w:end w:w="70" w:type="dxa"/>
        </w:tblCellMar>
      </w:tblPr>
      <w:tblGrid>
        <w:gridCol w:w="1488"/>
        <w:gridCol w:w="567"/>
        <w:gridCol w:w="567"/>
        <w:gridCol w:w="850"/>
      </w:tblGrid>
      <w:tr>
        <w:trPr/>
        <w:tc>
          <w:tcPr>
            <w:tcW w:w="1488" w:type="dxa"/>
            <w:tcBorders/>
          </w:tcPr>
          <w:p>
            <w:pPr>
              <w:pStyle w:val="T1"/>
              <w:rPr>
                <w:lang w:val="nl-NL"/>
              </w:rPr>
            </w:pPr>
            <w:r>
              <w:rPr>
                <w:lang w:val="nl-NL"/>
              </w:rPr>
              <w:t>Mixtuur HW</w:t>
            </w:r>
          </w:p>
        </w:tc>
        <w:tc>
          <w:tcPr>
            <w:tcW w:w="567"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567"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85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rPr>
          <w:lang w:val="nl-NL"/>
        </w:rPr>
      </w:pPr>
      <w:r>
        <w:rPr>
          <w:lang w:val="nl-NL"/>
        </w:rPr>
      </w:r>
    </w:p>
    <w:p>
      <w:pPr>
        <w:pStyle w:val="T1"/>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2/3 - 1 3/5</w:t>
      </w:r>
    </w:p>
    <w:p>
      <w:pPr>
        <w:pStyle w:val="T1"/>
        <w:rPr>
          <w:lang w:val="nl-NL"/>
        </w:rPr>
      </w:pPr>
      <w:r>
        <w:rPr>
          <w:lang w:val="nl-NL"/>
        </w:rPr>
      </w:r>
    </w:p>
    <w:p>
      <w:pPr>
        <w:pStyle w:val="T1"/>
        <w:rPr>
          <w:lang w:val="nl-NL"/>
        </w:rPr>
      </w:pPr>
      <w:r>
        <w:rPr>
          <w:lang w:val="nl-NL"/>
        </w:rPr>
        <w:t xml:space="preserve">Sesquialter Pos   </w:t>
      </w:r>
      <w:r>
        <w:rPr>
          <w:sz w:val="20"/>
          <w:lang w:val="nl-NL"/>
        </w:rPr>
        <w:t>c</w:t>
      </w:r>
      <w:r>
        <w:rPr>
          <w:sz w:val="20"/>
          <w:vertAlign w:val="superscript"/>
          <w:lang w:val="nl-NL"/>
        </w:rPr>
        <w:t>1</w:t>
      </w:r>
      <w:r>
        <w:rPr>
          <w:sz w:val="20"/>
          <w:lang w:val="nl-NL"/>
        </w:rPr>
        <w:t xml:space="preserve">   2 2/3 - 1 3/5</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C-f</w:t>
      </w:r>
      <w:r>
        <w:rPr>
          <w:vertAlign w:val="superscript"/>
          <w:lang w:val="nl-NL"/>
        </w:rPr>
        <w:t>3</w:t>
      </w:r>
    </w:p>
    <w:p>
      <w:pPr>
        <w:pStyle w:val="T1"/>
        <w:rPr>
          <w:lang w:val="nl-NL"/>
        </w:rPr>
      </w:pPr>
      <w:r>
        <w:rPr>
          <w:lang w:val="nl-NL"/>
        </w:rPr>
        <w:t>Pedaalomvang</w:t>
      </w:r>
    </w:p>
    <w:p>
      <w:pPr>
        <w:pStyle w:val="T1"/>
        <w:rPr>
          <w:lang w:val="nl-NL"/>
        </w:rPr>
      </w:pPr>
      <w:r>
        <w:rPr>
          <w:lang w:val="nl-NL"/>
        </w:rPr>
        <w:t>C-c</w:t>
      </w:r>
      <w:r>
        <w:rPr>
          <w:vertAlign w:val="superscript"/>
          <w:lang w:val="nl-NL"/>
        </w:rPr>
        <w:t>1</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één schepbalg</w:t>
      </w:r>
    </w:p>
    <w:p>
      <w:pPr>
        <w:pStyle w:val="T1"/>
        <w:rPr>
          <w:lang w:val="nl-NL"/>
        </w:rPr>
      </w:pPr>
      <w:r>
        <w:rPr>
          <w:lang w:val="nl-NL"/>
        </w:rPr>
        <w:t>Winddruk</w:t>
      </w:r>
    </w:p>
    <w:p>
      <w:pPr>
        <w:pStyle w:val="T1"/>
        <w:rPr>
          <w:lang w:val="nl-NL"/>
        </w:rPr>
      </w:pPr>
      <w:r>
        <w:rPr>
          <w:lang w:val="nl-NL"/>
        </w:rPr>
        <w:t>73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Heading2"/>
        <w:rPr>
          <w:i w:val="false"/>
          <w:i w:val="false"/>
          <w:iCs/>
        </w:rPr>
      </w:pPr>
      <w:r>
        <w:rPr>
          <w:i w:val="false"/>
          <w:iCs/>
        </w:rPr>
        <w:t>Bijzonderheden</w:t>
      </w:r>
    </w:p>
    <w:p>
      <w:pPr>
        <w:pStyle w:val="T1"/>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kas, met een voorzijde van eiken maar zonder frontpijpen, staat opgesteld tegen de rechterzijwand van het oksaal. Op de plaats van het uitneembare schot boven de klaviatuur stonden tot 1964 houten imitatiepijpen.</w:t>
      </w:r>
    </w:p>
    <w:p>
      <w:pPr>
        <w:pStyle w:val="T1"/>
        <w:jc w:val="start"/>
        <w:rPr>
          <w:lang w:val="nl-NL"/>
        </w:rPr>
      </w:pPr>
      <w:r>
        <w:rPr>
          <w:lang w:val="nl-NL"/>
        </w:rPr>
        <w:t>De registertrekkers met ronde stangen bevinden zich links en rechts van klavier en lessenaar. De registernamen staan op de knoppen. Het toetsbeleg van de handklavieren is vastgezet met nageltjes. De pedaaltoetsen zijn iets schuin aflopend.</w:t>
      </w:r>
    </w:p>
    <w:p>
      <w:pPr>
        <w:pStyle w:val="T1"/>
        <w:jc w:val="start"/>
        <w:rPr>
          <w:lang w:val="nl-NL"/>
        </w:rPr>
      </w:pPr>
      <w:r>
        <w:rPr>
          <w:lang w:val="nl-NL"/>
        </w:rPr>
        <w:t>De C- en Cis-laden van het HW bevinden zich boven in de orgelkas achter het uitneembare schot met gaas. Het pijpwerk is hier in hele tonen opgesteld, de grootste aan de buitenzijden met de Prestant 8' achteraan en de Trompet aan de voorzijde. Wellicht is voor deze oplossing gekozen omdat het orgel alleen vanaf de klaviatuurzijde kan worden gestemd. De beide laden van het Pos zijn laag gesitueerd aan weerszijden van de klaviatuur en mechaniek. Ook deze zijn in hele tonen ingedeeld, grootste pijpen aan de buitenzijde en ook hier staat het tongwerk aan de klaviatuurzijde. De in het verleden geuite bewering dat hier nog materiaal van het door Broekhuyzen (V29) genoemde kabinetorgel van Hess aanwezig is, lijkt vooralsnog niet erg waarschijnlijk.</w:t>
      </w:r>
    </w:p>
    <w:p>
      <w:pPr>
        <w:pStyle w:val="T1"/>
        <w:jc w:val="start"/>
        <w:rPr>
          <w:lang w:val="nl-NL"/>
        </w:rPr>
      </w:pPr>
      <w:r>
        <w:rPr>
          <w:lang w:val="nl-NL"/>
        </w:rPr>
        <w:t>De Subbas 16' staat tegenover het orgel tegen de linker zijmuur van het koor op een pneumatische lade.</w:t>
      </w:r>
    </w:p>
    <w:p>
      <w:pPr>
        <w:pStyle w:val="T1"/>
        <w:jc w:val="start"/>
        <w:rPr>
          <w:lang w:val="nl-NL"/>
        </w:rPr>
      </w:pPr>
      <w:r>
        <w:rPr>
          <w:lang w:val="nl-NL"/>
        </w:rPr>
        <w:t>Er is pijpwerk uit minstens drie perioden: vermoedelijk origineel (laat 19e eeuw), begin 20e eeuw (vermoedelijk 1911) en 1964.</w:t>
      </w:r>
    </w:p>
    <w:p>
      <w:pPr>
        <w:pStyle w:val="T1"/>
        <w:jc w:val="start"/>
        <w:rPr>
          <w:lang w:val="nl-NL"/>
        </w:rPr>
      </w:pPr>
      <w:r>
        <w:rPr>
          <w:lang w:val="nl-NL"/>
        </w:rPr>
        <w:t>Het groot octaaf van de Prestant 8' (HW) is van zink en voorzien van rolbaarden (1911). De overige pijpen in dit register dateren uit de late 19e eeuw. Ook de Bourdon 8' (C-H hout) en Octaaf 4' dateren uit deze periode. In de Fluit 4' zijn 24 conische open pijpen aanwezig van onbekende herkomst. Ze behoorden vermoedelijk tot de Bourdon D 16' van het OP; het overige pijpwerk van de Fluit is vermoedelijk origineel. Het pijpwerk van de Cornet heeft een afwijkende factuur, maar dateert vermoedelijk eveneens uit de late 19e eeuw. De overige registers van het HW dateren uit 1964.</w:t>
      </w:r>
    </w:p>
    <w:p>
      <w:pPr>
        <w:pStyle w:val="T1"/>
        <w:jc w:val="start"/>
        <w:rPr/>
      </w:pPr>
      <w:r>
        <w:rPr>
          <w:lang w:val="nl-NL"/>
        </w:rPr>
        <w:t>Op het Pos dateren de Bourdon 8' (C-H hout), het grootste deel van de Prestant 4' en de Fluit 4' (C-f</w:t>
      </w:r>
      <w:r>
        <w:rPr>
          <w:vertAlign w:val="superscript"/>
          <w:lang w:val="nl-NL"/>
        </w:rPr>
        <w:t>2</w:t>
      </w:r>
      <w:r>
        <w:rPr>
          <w:lang w:val="nl-NL"/>
        </w:rPr>
        <w:t xml:space="preserve"> gedekt, vervolg open, conisch) vermoedelijk uit de late 19e eeuw. De Salicionaal 8' (C-H zink), de Vox coelestis 8' (vanaf c met geperste labia en expressions), de Picolo 2' (met geperste labia, licht conisch) en de Euphone B (doorslaand) / Hautbois D 8' dateren uit 1911. De Quint 1 1/3' en de Sesquialter dateren uit 1964.</w:t>
      </w:r>
    </w:p>
    <w:p>
      <w:pPr>
        <w:pStyle w:val="T1"/>
        <w:jc w:val="start"/>
        <w:rPr>
          <w:lang w:val="nl-NL"/>
        </w:rPr>
      </w:pPr>
      <w:r>
        <w:rPr>
          <w:lang w:val="nl-NL"/>
        </w:rPr>
        <w:t>Het pijpwerk van de Subbas 16' (hout) is afkomstig van de voormalige Bourdon van het HW en dateert uit de eerste helft van de 20e eeuw.</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styleId="EquationCaption">
    <w:name w:val="_Equation Caption"/>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Footnote">
    <w:name w:val="Foot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2010-03-16T14:32:00Z</dcterms:created>
  <dc:creator>WS1</dc:creator>
  <dc:description/>
  <dc:language>en-US</dc:language>
  <cp:lastModifiedBy>Hans Steketee</cp:lastModifiedBy>
  <dcterms:modified xsi:type="dcterms:W3CDTF">2010-03-16T14:32:00Z</dcterms:modified>
  <cp:revision>2</cp:revision>
  <dc:subject/>
  <dc:title>Vorden Kranenburg/1880 ca</dc:title>
</cp:coreProperties>
</file>