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Ulrum / 1889</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Kerk uit 1901, gebouwd naar ontwerp van L. Reitsma ter vervanging van een ouder kerkgebouw dat elders in het dorp stond. Oorspronkelijk een recht gesloten zaalkerk met half ingebouwde toren, bekroond door een achtkantige bovenbouw met spits. Vormentaal deels aan de neorenaissance ontleend. In 1901 inrichting overdwars. In 1926-’27 vergroot met een arm die haaks op de kerk van 1901 geplaatst werd, waardoor een T-vormige plattegrond ontstond. Bij die gelegenheid inwendig opnieuw ingericht. Interieur deels gemoderniseerd bij latere herstellingen, bankenplan daarentegen intact gebleven.</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Front van het bekende zevenledige type, teruggrijpend op het omstreeks 1865 ontwikkelde prototype. De ongedeelde velden zijn hier recht, de smalle gedeelde velden hol gebogen uitgevoerd. Bij de herinrichting van de kerk gingen de oorspronkelijke drie draagkolommen onder het orgel verloren. Ook de tekstborden op de panelen onder de vleugelstukken (links ‘Looft de HEERE’ , rechts ‘Ps. 150 V.s 1’) zijn verdwenen.</w:t>
      </w:r>
    </w:p>
    <w:p>
      <w:pPr>
        <w:pStyle w:val="T2Kunst"/>
        <w:jc w:val="start"/>
        <w:rPr>
          <w:lang w:val="nl-NL"/>
        </w:rPr>
      </w:pPr>
      <w:r>
        <w:rPr>
          <w:lang w:val="nl-NL"/>
        </w:rPr>
        <w:t>De panelen onder de ongedeelde velden en tussen de gedeelde velden zijn vlak uitgevoerd, zonder diamantkoppen. Blinderingen samengesteld uit voluutvormen en plantaardige thema’s, in de torens zowel onderaan als boven voorzien van een koppelmotiefje, bovenaan iets over het lijstwerk heen stekend.</w:t>
      </w:r>
    </w:p>
    <w:p>
      <w:pPr>
        <w:pStyle w:val="T2Kunst"/>
        <w:jc w:val="start"/>
        <w:rPr>
          <w:lang w:val="nl-NL"/>
        </w:rPr>
      </w:pPr>
      <w:r>
        <w:rPr>
          <w:lang w:val="nl-NL"/>
        </w:rPr>
        <w:t>De opzetstukken op de zijtorens bestaan uit schilden waarop een bloemstukje, het geheel omlijst door gespiegelde C-voluten. De middentoren heeft een breed piedestal met vergulde knopjes, met daarop een lier, zijwaarts vergezeld door voluten en enkele takjes.</w:t>
      </w:r>
    </w:p>
    <w:p>
      <w:pPr>
        <w:pStyle w:val="T2Kunst"/>
        <w:jc w:val="start"/>
        <w:rPr>
          <w:lang w:val="nl-NL"/>
        </w:rPr>
      </w:pPr>
      <w:r>
        <w:rPr>
          <w:lang w:val="nl-NL"/>
        </w:rPr>
        <w:t>De vleugelstukken ontspringen bovenaan met dunne bladranken aan de zijstijl, om meer naar onderen over te gaan in een grote C-voluut, eindigend in een bloem, met binnen de voluut ruitwerk. Ondanks de aanwezige bekende ingrediënten is dit een vrij zeldzame variant.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Het Groninger Orgelbezit van Adorp tot Zijldijk. 1 Hunsingo</w:t>
      </w:r>
      <w:r>
        <w:rPr>
          <w:lang w:val="nl-NL"/>
        </w:rPr>
        <w:t>. Groningen, 1994, 112-113.</w:t>
      </w:r>
    </w:p>
    <w:p>
      <w:pPr>
        <w:pStyle w:val="T3Lit"/>
        <w:rPr>
          <w:lang w:val="nl-NL"/>
        </w:rPr>
      </w:pPr>
      <w:r>
        <w:rPr>
          <w:lang w:val="nl-NL"/>
        </w:rPr>
      </w:r>
    </w:p>
    <w:p>
      <w:pPr>
        <w:pStyle w:val="T3Lit"/>
        <w:rPr>
          <w:lang w:val="nl-NL"/>
        </w:rPr>
      </w:pPr>
      <w:r>
        <w:rPr>
          <w:lang w:val="nl-NL"/>
        </w:rPr>
        <w:t>Monumentnummer 509489</w:t>
      </w:r>
    </w:p>
    <w:p>
      <w:pPr>
        <w:pStyle w:val="T3Lit"/>
        <w:rPr>
          <w:lang w:val="nl-NL"/>
        </w:rPr>
      </w:pPr>
      <w:r>
        <w:rPr>
          <w:lang w:val="nl-NL"/>
        </w:rPr>
        <w:t>Orgelnummer 1881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1. L. van Dam en Zonen</w:t>
      </w:r>
    </w:p>
    <w:p>
      <w:pPr>
        <w:pStyle w:val="T1"/>
        <w:jc w:val="start"/>
        <w:rPr>
          <w:lang w:val="nl-NL"/>
        </w:rPr>
      </w:pPr>
      <w:r>
        <w:rPr>
          <w:lang w:val="nl-NL"/>
        </w:rPr>
        <w:t>2.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1. 1889</w:t>
      </w:r>
    </w:p>
    <w:p>
      <w:pPr>
        <w:pStyle w:val="T1"/>
        <w:jc w:val="start"/>
        <w:rPr>
          <w:lang w:val="nl-NL"/>
        </w:rPr>
      </w:pPr>
      <w:r>
        <w:rPr>
          <w:lang w:val="nl-NL"/>
        </w:rPr>
        <w:t>2. 1967</w:t>
      </w:r>
    </w:p>
    <w:p>
      <w:pPr>
        <w:pStyle w:val="T1"/>
        <w:rPr>
          <w:lang w:val="nl-NL"/>
        </w:rPr>
      </w:pPr>
      <w:r>
        <w:rPr>
          <w:lang w:val="nl-NL"/>
        </w:rPr>
      </w:r>
    </w:p>
    <w:p>
      <w:pPr>
        <w:pStyle w:val="T1"/>
        <w:rPr>
          <w:lang w:val="nl-NL"/>
        </w:rPr>
      </w:pPr>
      <w:r>
        <w:rPr>
          <w:lang w:val="nl-NL"/>
        </w:rPr>
        <w:t>L. van Dam en Zonen 1901</w:t>
      </w:r>
    </w:p>
    <w:p>
      <w:pPr>
        <w:pStyle w:val="T1"/>
        <w:numPr>
          <w:ilvl w:val="0"/>
          <w:numId w:val="4"/>
        </w:numPr>
        <w:rPr>
          <w:lang w:val="nl-NL"/>
        </w:rPr>
      </w:pPr>
      <w:r>
        <w:rPr>
          <w:lang w:val="nl-NL"/>
        </w:rPr>
        <w:t>orgel overgebracht naar nieuw kerkgebouw</w:t>
      </w:r>
    </w:p>
    <w:p>
      <w:pPr>
        <w:pStyle w:val="T1"/>
        <w:numPr>
          <w:ilvl w:val="0"/>
          <w:numId w:val="4"/>
        </w:numPr>
        <w:rPr>
          <w:lang w:val="nl-NL"/>
        </w:rPr>
      </w:pPr>
      <w:r>
        <w:rPr>
          <w:lang w:val="nl-NL"/>
        </w:rPr>
        <w:t xml:space="preserve">HW + Trompet 8' op daarvoor gereserveerde sleep </w:t>
      </w:r>
    </w:p>
    <w:p>
      <w:pPr>
        <w:pStyle w:val="T1"/>
        <w:jc w:val="start"/>
        <w:rPr>
          <w:lang w:val="nl-NL"/>
        </w:rPr>
      </w:pPr>
      <w:r>
        <w:rPr>
          <w:lang w:val="nl-NL"/>
        </w:rPr>
      </w:r>
    </w:p>
    <w:p>
      <w:pPr>
        <w:pStyle w:val="T1"/>
        <w:jc w:val="start"/>
        <w:rPr>
          <w:lang w:val="nl-NL"/>
        </w:rPr>
      </w:pPr>
      <w:r>
        <w:rPr>
          <w:lang w:val="nl-NL"/>
        </w:rPr>
        <w:t>1927</w:t>
      </w:r>
    </w:p>
    <w:p>
      <w:pPr>
        <w:pStyle w:val="T1"/>
        <w:numPr>
          <w:ilvl w:val="0"/>
          <w:numId w:val="3"/>
        </w:numPr>
        <w:jc w:val="start"/>
        <w:rPr>
          <w:lang w:val="nl-NL"/>
        </w:rPr>
      </w:pPr>
      <w:r>
        <w:rPr>
          <w:lang w:val="nl-NL"/>
        </w:rPr>
        <w:t>orgel circa 1 1/2 meter omhoog gebracht om onder het orgel een kansel te kunnen plaatsen</w:t>
      </w:r>
    </w:p>
    <w:p>
      <w:pPr>
        <w:pStyle w:val="T1"/>
        <w:jc w:val="start"/>
        <w:rPr>
          <w:lang w:val="nl-NL"/>
        </w:rPr>
      </w:pPr>
      <w:r>
        <w:rPr>
          <w:lang w:val="nl-NL"/>
        </w:rPr>
      </w:r>
    </w:p>
    <w:p>
      <w:pPr>
        <w:pStyle w:val="T1"/>
        <w:jc w:val="start"/>
        <w:rPr>
          <w:lang w:val="nl-NL"/>
        </w:rPr>
      </w:pPr>
      <w:r>
        <w:rPr>
          <w:lang w:val="nl-NL"/>
        </w:rPr>
        <w:t>Mense Ruiter 1967</w:t>
      </w:r>
    </w:p>
    <w:p>
      <w:pPr>
        <w:pStyle w:val="T1"/>
        <w:numPr>
          <w:ilvl w:val="0"/>
          <w:numId w:val="3"/>
        </w:numPr>
        <w:jc w:val="start"/>
        <w:rPr>
          <w:lang w:val="nl-NL"/>
        </w:rPr>
      </w:pPr>
      <w:r>
        <w:rPr>
          <w:lang w:val="nl-NL"/>
        </w:rPr>
        <w:t>orgel uitgebreid met DwW en Ped</w:t>
      </w:r>
    </w:p>
    <w:p>
      <w:pPr>
        <w:pStyle w:val="T1"/>
        <w:numPr>
          <w:ilvl w:val="0"/>
          <w:numId w:val="3"/>
        </w:numPr>
        <w:jc w:val="start"/>
        <w:rPr>
          <w:lang w:val="nl-NL"/>
        </w:rPr>
      </w:pPr>
      <w:r>
        <w:rPr>
          <w:lang w:val="nl-NL"/>
        </w:rPr>
        <w:t>nieuwe windvoorziening</w:t>
      </w:r>
    </w:p>
    <w:p>
      <w:pPr>
        <w:pStyle w:val="T1"/>
        <w:numPr>
          <w:ilvl w:val="0"/>
          <w:numId w:val="3"/>
        </w:numPr>
        <w:jc w:val="start"/>
        <w:rPr>
          <w:lang w:val="nl-NL"/>
        </w:rPr>
      </w:pPr>
      <w:r>
        <w:rPr>
          <w:lang w:val="nl-NL"/>
        </w:rPr>
        <w:t>nieuwe handklavieren, nieuw pedaalklavier, nieuwe koppelmechanieken</w:t>
      </w:r>
    </w:p>
    <w:p>
      <w:pPr>
        <w:pStyle w:val="T1"/>
        <w:numPr>
          <w:ilvl w:val="0"/>
          <w:numId w:val="3"/>
        </w:numPr>
        <w:jc w:val="start"/>
        <w:rPr>
          <w:lang w:val="nl-NL"/>
        </w:rPr>
      </w:pPr>
      <w:r>
        <w:rPr>
          <w:lang w:val="nl-NL"/>
        </w:rPr>
        <w:t>indeling lade 1889 gewijzigd</w:t>
      </w:r>
    </w:p>
    <w:p>
      <w:pPr>
        <w:pStyle w:val="T1"/>
        <w:numPr>
          <w:ilvl w:val="0"/>
          <w:numId w:val="3"/>
        </w:numPr>
        <w:jc w:val="start"/>
        <w:rPr>
          <w:lang w:val="nl-NL"/>
        </w:rPr>
      </w:pPr>
      <w:r>
        <w:rPr>
          <w:lang w:val="nl-NL"/>
        </w:rPr>
        <w:t>Bourdon 16' op elektrisch aangestuurde unitladen geplaatst</w:t>
      </w:r>
    </w:p>
    <w:p>
      <w:pPr>
        <w:pStyle w:val="T1"/>
        <w:numPr>
          <w:ilvl w:val="0"/>
          <w:numId w:val="3"/>
        </w:numPr>
        <w:jc w:val="start"/>
        <w:rPr>
          <w:lang w:val="nl-NL"/>
        </w:rPr>
      </w:pPr>
      <w:r>
        <w:rPr>
          <w:lang w:val="nl-NL"/>
        </w:rPr>
        <w:t>HW + Mixtuur 3-4-5 st.</w:t>
      </w:r>
    </w:p>
    <w:p>
      <w:pPr>
        <w:pStyle w:val="T1"/>
        <w:numPr>
          <w:ilvl w:val="0"/>
          <w:numId w:val="3"/>
        </w:numPr>
        <w:jc w:val="start"/>
        <w:rPr>
          <w:lang w:val="nl-NL"/>
        </w:rPr>
      </w:pPr>
      <w:r>
        <w:rPr>
          <w:lang w:val="nl-NL"/>
        </w:rPr>
        <w:t>orgelkas gebroken wit geschilderd</w:t>
      </w:r>
    </w:p>
    <w:p>
      <w:pPr>
        <w:pStyle w:val="T1"/>
        <w:jc w:val="start"/>
        <w:rPr>
          <w:lang w:val="nl-NL"/>
        </w:rPr>
      </w:pPr>
      <w:r>
        <w:rPr>
          <w:lang w:val="nl-NL"/>
        </w:rPr>
      </w:r>
    </w:p>
    <w:p>
      <w:pPr>
        <w:pStyle w:val="T1"/>
        <w:jc w:val="start"/>
        <w:rPr>
          <w:lang w:val="nl-NL"/>
        </w:rPr>
      </w:pPr>
      <w:r>
        <w:rPr>
          <w:lang w:val="nl-NL"/>
        </w:rPr>
        <w:t>1996</w:t>
      </w:r>
    </w:p>
    <w:p>
      <w:pPr>
        <w:pStyle w:val="T1"/>
        <w:numPr>
          <w:ilvl w:val="0"/>
          <w:numId w:val="2"/>
        </w:numPr>
        <w:jc w:val="start"/>
        <w:rPr>
          <w:lang w:val="nl-NL"/>
        </w:rPr>
      </w:pPr>
      <w:r>
        <w:rPr>
          <w:lang w:val="nl-NL"/>
        </w:rPr>
        <w:t>orgelkas overgeschilderd in bruine kleur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 D</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lang w:val="nl-NL"/>
              </w:rPr>
            </w:pPr>
            <w:r>
              <w:rPr>
                <w:i/>
                <w:lang w:val="nl-NL"/>
              </w:rPr>
              <w:t>Dwarswerk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Nasard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Bourdon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 Ped-II</w:t>
      </w:r>
    </w:p>
    <w:p>
      <w:pPr>
        <w:pStyle w:val="Normal"/>
        <w:rPr>
          <w:rFonts w:ascii="Times New Roman" w:hAnsi="Times New Roman" w:cs="Times New Roman"/>
          <w:szCs w:val="24"/>
        </w:rPr>
      </w:pPr>
      <w:r>
        <w:rPr>
          <w:rFonts w:cs="Times New Roman" w:ascii="Times New Roman" w:hAnsi="Times New Roman"/>
          <w:szCs w:val="24"/>
        </w:rPr>
        <w:t>tremulant HW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38" w:type="dxa"/>
        <w:jc w:val="start"/>
        <w:tblInd w:w="-70" w:type="dxa"/>
        <w:tblLayout w:type="fixed"/>
        <w:tblCellMar>
          <w:top w:w="0" w:type="dxa"/>
          <w:start w:w="70" w:type="dxa"/>
          <w:bottom w:w="0" w:type="dxa"/>
          <w:end w:w="70" w:type="dxa"/>
        </w:tblCellMar>
      </w:tblPr>
      <w:tblGrid>
        <w:gridCol w:w="1047"/>
        <w:gridCol w:w="736"/>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tin. Sprekend zijn de pijpen in de middentoren, de rechter zijtoren, de ongedeelde velden en de smalle bovenste veldjes.</w:t>
      </w:r>
    </w:p>
    <w:p>
      <w:pPr>
        <w:pStyle w:val="T1"/>
        <w:jc w:val="start"/>
        <w:rPr>
          <w:lang w:val="nl-NL"/>
        </w:rPr>
      </w:pPr>
      <w:r>
        <w:rPr>
          <w:lang w:val="nl-NL"/>
        </w:rPr>
        <w:t>Van de oorspronkelijke klaviatuur resten nog de registerknoppen (thans HW), de registeropschriften HW, hoewel op enkele punten gewijzigd in 1967, de eiken registerborden en de eiken lessenaar (wellicht ingekort). De handklavieren van 1967 hebben ivoorbeleg op de ondertoetsen en geprofileerde houten toetsfrontons.</w:t>
      </w:r>
    </w:p>
    <w:p>
      <w:pPr>
        <w:pStyle w:val="T1"/>
        <w:jc w:val="start"/>
        <w:rPr>
          <w:lang w:val="nl-NL"/>
        </w:rPr>
      </w:pPr>
      <w:r>
        <w:rPr>
          <w:lang w:val="nl-NL"/>
        </w:rPr>
        <w:t>Op de plaats van de oorspronkelijke magazijnbalg zijn nu een windmachine in dempkist en een kleine rechtopgaande balg geplaatst. In de rechter zijwand van de kas zijn nog de sleuven voor handpomp en windzicht aanwezig.</w:t>
      </w:r>
    </w:p>
    <w:p>
      <w:pPr>
        <w:pStyle w:val="T1"/>
        <w:jc w:val="start"/>
        <w:rPr/>
      </w:pPr>
      <w:r>
        <w:rPr>
          <w:lang w:val="nl-NL"/>
        </w:rPr>
        <w:t>De windlade van 1889 ligt nog op de oorspronkelijke drie grenen liggers. De lade is van eiken en bezit opliggende voorslagen, vastgezet met palmhouten klemmen. De cancelvolgorde is chromatisch, als volgt: h-C c</w:t>
      </w:r>
      <w:r>
        <w:rPr>
          <w:vertAlign w:val="superscript"/>
          <w:lang w:val="nl-NL"/>
        </w:rPr>
        <w:t>1</w:t>
      </w:r>
      <w:r>
        <w:rPr>
          <w:lang w:val="nl-NL"/>
        </w:rPr>
        <w:t>-g</w:t>
      </w:r>
      <w:r>
        <w:rPr>
          <w:vertAlign w:val="superscript"/>
          <w:lang w:val="nl-NL"/>
        </w:rPr>
        <w:t xml:space="preserve">3. </w:t>
      </w:r>
      <w:r>
        <w:rPr>
          <w:lang w:val="nl-NL"/>
        </w:rPr>
        <w:t>De oorspronkelijke registervolgorde is in 1967 enigszins gewijzigd. De Roerfluit 4' staat thans op de sleep van de Bourdon 16', de Mixtuur op de sleep van de Roerfluit 4'. De windlade van het DwW rust op ijzeren lagers. De cancelvolgorde is zuiver chromatisch. In de onderkas zijn unitlaatjes geplaatst waarop het pijpwerk van de Bourdon 16' van 1889 is opgesteld. Tegen de rechter zijwand staan de eiken pijpen voor C-g en metalen pijpen voor gis-cis¹, terwijl op de vloer de pijpen voor d¹ - g³ staan, in drie rijen, chromatisch aflopend. Uit dit register zijn zowel de Bourdon 16' HW als de twee Ped-registers afgeleid.</w:t>
      </w:r>
    </w:p>
    <w:p>
      <w:pPr>
        <w:pStyle w:val="T1"/>
        <w:jc w:val="start"/>
        <w:rPr>
          <w:lang w:val="nl-NL"/>
        </w:rPr>
      </w:pPr>
      <w:r>
        <w:rPr>
          <w:lang w:val="nl-NL"/>
        </w:rPr>
        <w:t>De Prestant 8' staat vanaf b¹ op de lade. In de bas zijn er nog twee grotere binnenpijpen. De Holpijp 8' HW bezit eiken pijpen voor C-G. De Roerfluit  ' heeft conische pijpen voor de hoogste 12 tonen. De Cornet staat op de pijpstok. De Trompet heeft mahonie stevels, mahonie koppen, en messing kelen vanaf groot C. De bekers zijn van metaal.</w:t>
      </w:r>
    </w:p>
    <w:p>
      <w:pPr>
        <w:pStyle w:val="T1"/>
        <w:jc w:val="start"/>
        <w:rPr>
          <w:lang w:val="nl-NL"/>
        </w:rPr>
      </w:pPr>
      <w:r>
        <w:rPr>
          <w:lang w:val="nl-NL"/>
        </w:rPr>
        <w:t>De Roerfluit DwW is geheel van metaal, de Gedekt 4' heeft conische pijpen voor de hoogste 12 tonen, de Nasard 1 1/3' is conisch.</w:t>
      </w:r>
    </w:p>
    <w:p>
      <w:pPr>
        <w:pStyle w:val="T1"/>
        <w:jc w:val="start"/>
        <w:rPr>
          <w:lang w:val="nl-NL"/>
        </w:rPr>
      </w:pPr>
      <w:r>
        <w:rPr>
          <w:lang w:val="nl-NL"/>
        </w:rPr>
        <w:t>Expressions zijn toegepast bij alle binnenpijpen van de Prestant 8'en Violon 8', bij de Octaaf 4' tot en met h, bij de Octaaf 2' tot en met H. Bij het pijpwerk van 1967 zijn stemkrullen toegepast voor C-h van de Octaaf 2', en C-e van de Nasard 1 1/3'. Bij de Mixtuur reiken de stemkrullen ook tot 1/2-voets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2010-03-16T13:47:00Z</dcterms:created>
  <dc:creator>WS1</dc:creator>
  <dc:description/>
  <dc:language>en-US</dc:language>
  <cp:lastModifiedBy>Hans Steketee</cp:lastModifiedBy>
  <dcterms:modified xsi:type="dcterms:W3CDTF">2010-03-16T13:47:00Z</dcterms:modified>
  <cp:revision>2</cp:revision>
  <dc:subject/>
  <dc:title>Olst / 1880</dc:title>
</cp:coreProperties>
</file>