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Ulft / 1897</w:t>
      </w:r>
    </w:p>
    <w:p>
      <w:pPr>
        <w:pStyle w:val="Heading2"/>
        <w:rPr>
          <w:i w:val="false"/>
          <w:i w:val="false"/>
          <w:iCs/>
        </w:rPr>
      </w:pPr>
      <w:r>
        <w:rPr>
          <w:i w:val="false"/>
          <w:iCs/>
        </w:rPr>
        <w:t>R.K. St-Petrus en Pauluskerk</w:t>
      </w:r>
    </w:p>
    <w:p>
      <w:pPr>
        <w:pStyle w:val="T1"/>
        <w:jc w:val="start"/>
        <w:rPr>
          <w:i/>
          <w:i/>
          <w:iCs/>
        </w:rPr>
      </w:pPr>
      <w:r>
        <w:rPr>
          <w:i/>
          <w:iCs/>
        </w:rPr>
      </w:r>
    </w:p>
    <w:p>
      <w:pPr>
        <w:pStyle w:val="T1"/>
        <w:jc w:val="start"/>
        <w:rPr>
          <w:i/>
          <w:i/>
          <w:iCs/>
        </w:rPr>
      </w:pPr>
      <w:r>
        <w:rPr>
          <w:i/>
          <w:iCs/>
        </w:rPr>
        <w:t>Traditionalistische driebeukige kruisbasiliek met forse westbouw in romaniserende trant, gebouwd in 1957-1959 naar ontwerp van A.M.J. Vosman ter vervanging van een voorganger uit 1865. Inwendig gemetselde gewelven in rondboog- en paraboolvormen.</w:t>
      </w:r>
    </w:p>
    <w:p>
      <w:pPr>
        <w:pStyle w:val="T1"/>
        <w:jc w:val="start"/>
        <w:rPr>
          <w:i/>
          <w:i/>
          <w:iCs/>
        </w:rPr>
      </w:pPr>
      <w:r>
        <w:rPr>
          <w:i/>
          <w:iCs/>
        </w:rPr>
      </w:r>
    </w:p>
    <w:p>
      <w:pPr>
        <w:pStyle w:val="T1"/>
        <w:jc w:val="start"/>
        <w:rPr>
          <w:lang w:val="nl-NL"/>
        </w:rPr>
      </w:pPr>
      <w:r>
        <w:rPr>
          <w:lang w:val="nl-NL"/>
        </w:rPr>
        <w:t>Kassen: 1897</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lang w:val="nl-NL"/>
        </w:rPr>
        <w:t xml:space="preserve">Dit instrument werd gebouwd voor de vorige Petrus- en Pauluskerk ter plaatse, een in 1960 gesloopte driebeukige neogotische kruisbailiek met driezijdig gesloten koor en toren van drie geledingen met helmspits, gebouwd in 1862-1865 naar ontwerp van P.J.H. Cuypers. </w:t>
      </w:r>
      <w:r>
        <w:rPr/>
        <w:t xml:space="preserve">Om het westvenster vrij te houden werd gekozen voor afzonderlijke orgelkassen voor Pos (epistelzijde) en HW/Ped (evangeliezijde). Het opschrift </w:t>
      </w:r>
      <w:r>
        <w:rPr>
          <w:i/>
        </w:rPr>
        <w:t>1872 B.F.Terwindt C</w:t>
      </w:r>
      <w:r>
        <w:rPr>
          <w:i/>
          <w:vertAlign w:val="superscript"/>
        </w:rPr>
        <w:t>o</w:t>
      </w:r>
      <w:r>
        <w:rPr>
          <w:i/>
        </w:rPr>
        <w:t>D</w:t>
      </w:r>
      <w:r>
        <w:rPr>
          <w:i/>
          <w:vertAlign w:val="superscript"/>
        </w:rPr>
        <w:t>o</w:t>
      </w:r>
      <w:r>
        <w:rPr>
          <w:i/>
        </w:rPr>
        <w:t>P</w:t>
      </w:r>
      <w:r>
        <w:rPr>
          <w:i/>
          <w:vertAlign w:val="superscript"/>
        </w:rPr>
        <w:t>i</w:t>
      </w:r>
      <w:r>
        <w:rPr>
          <w:i/>
        </w:rPr>
        <w:t xml:space="preserve"> / Grati Parochiani 1897</w:t>
      </w:r>
      <w:r>
        <w:rPr/>
        <w:t xml:space="preserve">, verdeeld over de kranslijst van beide kassen herinnert aan de aanschaf van het instrument ter gelegenheid van een 25-jarig priesterjubileum. Bij de overplaatsing naar het huidige kerkgebouw werden de orgelkassen grotendeels verdekt achter een muurboog opgesteld, maar bleef de neogotische vormgeving grotendeels intact. Belangrijkste visuele element vanuit de kerkruimte zijn de forse overhoekse torens met daarin in beide kassen een zevental acht-voets prestantpijpen met het grootste exemplaar in het midden. Beide torens hebben een circelvormige plattegrond, aan de onderzijden zijn hangende totenlijsten aangebracht, waarvan de toten onderling deels nog door een gesneden touwmotief worden verbonden. In beide torenbekroningen verzorgt een viertal onderling door toten met </w:t>
      </w:r>
      <w:r>
        <w:rPr>
          <w:i/>
        </w:rPr>
        <w:t>fleurs-de-lis</w:t>
      </w:r>
      <w:r>
        <w:rPr/>
        <w:t xml:space="preserve"> verbonden pinakels - doorlopend in een kielboogtracering ter blindering van de pijpuiteinden - voor een achtkantige contourwerking. Aan de korte kerkzijden van de kassen worden de torens geflankeerd door een sprekend pijpenveld met elk eveneens een zevental pijpen met in dit geval het grootste exemplaar geheel terzijde naast een afsluitende, door een pinakel bekroonde stijl. De voor Maarschalkerweerd-neogotiek kenmerkende, hier schuin naar buiten toe aflopende driehoekige velden onderin deze velden zijn opengewerkt met voluutvormige bladslingers, welke achter jaartalschilden ter herinnering aan genoemd priesterjubileum ontspringen  Boven de pijpuiteinden zijn halve bogen aanwezig met bladwerk in de zwikken. Daarboven is een fries met opengewerkte vierpasrozetten aangebracht, dat wordt bekroond met totenlijsten met liggend geschakelde halve vierpassen, onderling gescheiden door bekronende </w:t>
      </w:r>
      <w:r>
        <w:rPr>
          <w:i/>
        </w:rPr>
        <w:t>fleurs-de lis</w:t>
      </w:r>
      <w:r>
        <w:rPr/>
        <w:t xml:space="preserve">. Rozetfries en totenlijst zijn ook aanwezig als bovenafsluiting van de lange koorzolderzijden van de kassen, hier echter meer eenvoudig als gestileerd zaagwerk uitgevoerd. </w:t>
      </w:r>
      <w:r>
        <w:rPr>
          <w:lang w:val="nl-NL"/>
        </w:rPr>
        <w:t>Onder het rozetfries is in de evangeliekas een drietal opengewerkte panelen met uitgezaagde driepasbogen aangebracht.</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Jos Laus, </w:t>
      </w:r>
      <w:r>
        <w:rPr>
          <w:i/>
          <w:iCs/>
          <w:lang w:val="nl-NL"/>
        </w:rPr>
        <w:t>Maarschalkerweerd &amp; Zoon Orgelmakers te Utrecht</w:t>
      </w:r>
      <w:r>
        <w:rPr>
          <w:lang w:val="nl-NL"/>
        </w:rPr>
        <w:t>. Alphen aan den Rijn, 2008.</w:t>
      </w:r>
    </w:p>
    <w:p>
      <w:pPr>
        <w:pStyle w:val="T3Lit"/>
        <w:jc w:val="start"/>
        <w:rPr/>
      </w:pPr>
      <w:r>
        <w:rPr>
          <w:lang w:val="nl-NL"/>
        </w:rPr>
        <w:t xml:space="preserve">J.F. van Os, </w:t>
      </w:r>
      <w:r>
        <w:rPr>
          <w:i/>
          <w:iCs/>
          <w:lang w:val="nl-NL"/>
        </w:rPr>
        <w:t>Beschrijving van de orgels in de gemeente Gendringen</w:t>
      </w:r>
      <w:r>
        <w:rPr>
          <w:lang w:val="nl-NL"/>
        </w:rPr>
        <w:t>. Ulft, 1975, 28-29.</w:t>
      </w:r>
    </w:p>
    <w:p>
      <w:pPr>
        <w:pStyle w:val="T3Lit"/>
        <w:jc w:val="start"/>
        <w:rPr/>
      </w:pPr>
      <w:r>
        <w:rPr>
          <w:lang w:val="nl-NL"/>
        </w:rPr>
        <w:t xml:space="preserve">J.F. van Os, </w:t>
      </w:r>
      <w:r>
        <w:rPr>
          <w:i/>
          <w:iCs/>
          <w:lang w:val="nl-NL"/>
        </w:rPr>
        <w:t>Oude Orgels in Oost-Gelderland</w:t>
      </w:r>
      <w:r>
        <w:rPr>
          <w:lang w:val="nl-NL"/>
        </w:rPr>
        <w:t>. Elburg, 2003, 149.</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Orgelarchief Universiteit Utrecht, Maarschalkerweerdarchief, Mensurencahier afzonderlijke orgels 1890-1915, cahier Orgeldisposities 1895-1919, cahier metalen pijpwerk 1896-1904.</w:t>
      </w:r>
    </w:p>
    <w:p>
      <w:pPr>
        <w:pStyle w:val="T3Lit"/>
        <w:rPr/>
      </w:pPr>
      <w:r>
        <w:rPr/>
        <w:t>Parochiearchief Ulft.</w:t>
      </w:r>
    </w:p>
    <w:p>
      <w:pPr>
        <w:pStyle w:val="T3Lit"/>
        <w:rPr/>
      </w:pPr>
      <w:r>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lang w:val="nl-NL"/>
        </w:rPr>
      </w:pPr>
      <w:r>
        <w:rPr>
          <w:lang w:val="nl-NL"/>
        </w:rPr>
        <w:t>Pannekoek &amp; Vermeux vóór 1959</w:t>
      </w:r>
    </w:p>
    <w:p>
      <w:pPr>
        <w:pStyle w:val="T1"/>
        <w:numPr>
          <w:ilvl w:val="0"/>
          <w:numId w:val="2"/>
        </w:numPr>
        <w:jc w:val="start"/>
        <w:rPr>
          <w:lang w:val="nl-NL"/>
        </w:rPr>
      </w:pPr>
      <w:r>
        <w:rPr>
          <w:lang w:val="nl-NL"/>
        </w:rPr>
        <w:t>Pos - Salicet 4', + Sexquialter 2 st.</w:t>
      </w:r>
    </w:p>
    <w:p>
      <w:pPr>
        <w:pStyle w:val="T1"/>
        <w:jc w:val="start"/>
        <w:rPr>
          <w:lang w:val="nl-NL"/>
        </w:rPr>
      </w:pPr>
      <w:r>
        <w:rPr>
          <w:lang w:val="nl-NL"/>
        </w:rPr>
      </w:r>
    </w:p>
    <w:p>
      <w:pPr>
        <w:pStyle w:val="T1"/>
        <w:jc w:val="start"/>
        <w:rPr>
          <w:lang w:val="nl-NL"/>
        </w:rPr>
      </w:pPr>
      <w:r>
        <w:rPr>
          <w:lang w:val="nl-NL"/>
        </w:rPr>
        <w:t>J.J. Elbertse 1959</w:t>
      </w:r>
    </w:p>
    <w:p>
      <w:pPr>
        <w:pStyle w:val="T1"/>
        <w:numPr>
          <w:ilvl w:val="0"/>
          <w:numId w:val="2"/>
        </w:numPr>
        <w:jc w:val="start"/>
        <w:rPr>
          <w:lang w:val="nl-NL"/>
        </w:rPr>
      </w:pPr>
      <w:r>
        <w:rPr>
          <w:lang w:val="nl-NL"/>
        </w:rPr>
        <w:t>orgel overgeplaatst naar nieuw kerkgebouw</w:t>
      </w:r>
    </w:p>
    <w:p>
      <w:pPr>
        <w:pStyle w:val="T1"/>
        <w:jc w:val="start"/>
        <w:rPr>
          <w:lang w:val="nl-NL"/>
        </w:rPr>
      </w:pPr>
      <w:r>
        <w:rPr>
          <w:lang w:val="nl-NL"/>
        </w:rPr>
      </w:r>
    </w:p>
    <w:p>
      <w:pPr>
        <w:pStyle w:val="T1"/>
        <w:jc w:val="start"/>
        <w:rPr>
          <w:lang w:val="nl-NL"/>
        </w:rPr>
      </w:pPr>
      <w:r>
        <w:rPr>
          <w:lang w:val="nl-NL"/>
        </w:rPr>
        <w:t>Jos. Vermeulen 1977</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pneumatische tractuur verbouwd tot elektropneumatische; koppel Ped-Pos toegevoegd</w:t>
      </w:r>
    </w:p>
    <w:p>
      <w:pPr>
        <w:pStyle w:val="T1"/>
        <w:numPr>
          <w:ilvl w:val="0"/>
          <w:numId w:val="2"/>
        </w:numPr>
        <w:jc w:val="start"/>
        <w:rPr>
          <w:lang w:val="fr-FR"/>
        </w:rPr>
      </w:pPr>
      <w:r>
        <w:rPr>
          <w:lang w:val="fr-FR"/>
        </w:rPr>
        <w:t>Pos - Dolcissimo 8</w:t>
      </w:r>
      <w:r>
        <w:rPr>
          <w:lang w:val="nl-NL"/>
        </w:rPr>
        <w:t>'</w:t>
      </w:r>
      <w:r>
        <w:rPr>
          <w:lang w:val="fr-FR"/>
        </w:rPr>
        <w:t>, + Salicet 4</w:t>
      </w:r>
      <w:r>
        <w:rPr>
          <w:lang w:val="nl-NL"/>
        </w:rPr>
        <w:t>'</w:t>
      </w:r>
    </w:p>
    <w:p>
      <w:pPr>
        <w:pStyle w:val="T1"/>
        <w:jc w:val="start"/>
        <w:rPr>
          <w:lang w:val="fr-FR"/>
        </w:rPr>
      </w:pPr>
      <w:r>
        <w:rPr>
          <w:lang w:val="fr-FR"/>
        </w:rPr>
      </w:r>
    </w:p>
    <w:p>
      <w:pPr>
        <w:pStyle w:val="T1"/>
        <w:jc w:val="start"/>
        <w:rPr>
          <w:lang w:val="nl-NL"/>
        </w:rPr>
      </w:pPr>
      <w:r>
        <w:rPr>
          <w:lang w:val="nl-NL"/>
        </w:rPr>
        <w:t>Flentrop Orgelbouw 2004</w:t>
      </w:r>
    </w:p>
    <w:p>
      <w:pPr>
        <w:pStyle w:val="T1"/>
        <w:numPr>
          <w:ilvl w:val="0"/>
          <w:numId w:val="3"/>
        </w:numPr>
        <w:jc w:val="start"/>
        <w:rPr>
          <w:lang w:val="nl-NL"/>
        </w:rPr>
      </w:pPr>
      <w:r>
        <w:rPr>
          <w:lang w:val="nl-NL"/>
        </w:rPr>
        <w:t>schoonmaak en herstel</w:t>
      </w:r>
    </w:p>
    <w:p>
      <w:pPr>
        <w:pStyle w:val="T1"/>
        <w:numPr>
          <w:ilvl w:val="0"/>
          <w:numId w:val="3"/>
        </w:numPr>
        <w:jc w:val="start"/>
        <w:rPr>
          <w:lang w:val="nl-NL"/>
        </w:rPr>
      </w:pPr>
      <w:r>
        <w:rPr>
          <w:lang w:val="nl-NL"/>
        </w:rPr>
        <w:t>speeltafel verplaatst</w:t>
      </w:r>
    </w:p>
    <w:p>
      <w:pPr>
        <w:pStyle w:val="T1"/>
        <w:numPr>
          <w:ilvl w:val="0"/>
          <w:numId w:val="3"/>
        </w:numPr>
        <w:jc w:val="start"/>
        <w:rPr>
          <w:lang w:val="nl-NL"/>
        </w:rPr>
      </w:pPr>
      <w:r>
        <w:rPr>
          <w:lang w:val="nl-NL"/>
        </w:rPr>
        <w:t>windvoorziening hersteld en deels opnieuw beleerd</w:t>
      </w:r>
    </w:p>
    <w:p>
      <w:pPr>
        <w:pStyle w:val="T1"/>
        <w:numPr>
          <w:ilvl w:val="0"/>
          <w:numId w:val="3"/>
        </w:numPr>
        <w:jc w:val="start"/>
        <w:rPr>
          <w:lang w:val="nl-NL"/>
        </w:rPr>
      </w:pPr>
      <w:r>
        <w:rPr>
          <w:lang w:val="nl-NL"/>
        </w:rPr>
        <w:t>gecorrodeerde pijpvoeten vernieuwd</w:t>
      </w:r>
    </w:p>
    <w:p>
      <w:pPr>
        <w:pStyle w:val="T1"/>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330"/>
        <w:gridCol w:w="720"/>
        <w:gridCol w:w="1440"/>
        <w:gridCol w:w="720"/>
        <w:gridCol w:w="108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Quintadeen</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440" w:type="dxa"/>
            <w:tcBorders/>
          </w:tcPr>
          <w:p>
            <w:pPr>
              <w:pStyle w:val="T4dispositie"/>
              <w:rPr>
                <w:i/>
                <w:i/>
                <w:lang w:val="nl-NL"/>
              </w:rPr>
            </w:pPr>
            <w:r>
              <w:rPr>
                <w:i/>
                <w:lang w:val="nl-NL"/>
              </w:rPr>
              <w:t>Positief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Vioolprestant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Fluit dolce</w:t>
            </w:r>
          </w:p>
          <w:p>
            <w:pPr>
              <w:pStyle w:val="T4dispositie"/>
              <w:rPr>
                <w:lang w:val="nl-NL"/>
              </w:rPr>
            </w:pPr>
            <w:r>
              <w:rPr>
                <w:lang w:val="nl-NL"/>
              </w:rPr>
              <w:t>Salicet</w:t>
            </w:r>
          </w:p>
          <w:p>
            <w:pPr>
              <w:pStyle w:val="T4dispositie"/>
              <w:rPr>
                <w:lang w:val="nl-NL"/>
              </w:rPr>
            </w:pPr>
            <w:r>
              <w:rPr>
                <w:lang w:val="nl-NL"/>
              </w:rPr>
              <w:t>Sexquialter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st.</w:t>
            </w:r>
          </w:p>
        </w:tc>
        <w:tc>
          <w:tcPr>
            <w:tcW w:w="108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Subbass</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I-II, Ped-I, Ped-II</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2101" w:type="dxa"/>
        <w:jc w:val="start"/>
        <w:tblInd w:w="-70" w:type="dxa"/>
        <w:tblLayout w:type="fixed"/>
        <w:tblCellMar>
          <w:top w:w="0" w:type="dxa"/>
          <w:start w:w="70" w:type="dxa"/>
          <w:bottom w:w="0" w:type="dxa"/>
          <w:end w:w="70" w:type="dxa"/>
        </w:tblCellMar>
      </w:tblPr>
      <w:tblGrid>
        <w:gridCol w:w="1354"/>
        <w:gridCol w:w="747"/>
      </w:tblGrid>
      <w:tr>
        <w:trPr/>
        <w:tc>
          <w:tcPr>
            <w:tcW w:w="1354" w:type="dxa"/>
            <w:tcBorders/>
          </w:tcPr>
          <w:p>
            <w:pPr>
              <w:pStyle w:val="Normal"/>
              <w:rPr>
                <w:rFonts w:ascii="Times New Roman" w:hAnsi="Times New Roman" w:cs="Times New Roman"/>
                <w:szCs w:val="24"/>
              </w:rPr>
            </w:pPr>
            <w:r>
              <w:rPr>
                <w:rFonts w:cs="Times New Roman" w:ascii="Times New Roman" w:hAnsi="Times New Roman"/>
                <w:szCs w:val="24"/>
              </w:rPr>
              <w:t>Sexquialter</w:t>
            </w:r>
          </w:p>
        </w:tc>
        <w:tc>
          <w:tcPr>
            <w:tcW w:w="747"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twee regulateurs (1897)</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82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vrijstaande speeltafel</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bevinden zich in een horizontale rij boven de handklavieren, links Ped en HW, rechts Pos; de koppelingen daartussenin. Tussen knoppen en bovenklavier is de firmasignatuur aangebracht. Het bovenklavier heeft schuine ondertoetsfrontons.</w:t>
      </w:r>
    </w:p>
    <w:p>
      <w:pPr>
        <w:pStyle w:val="T1"/>
        <w:jc w:val="start"/>
        <w:rPr/>
      </w:pPr>
      <w:r>
        <w:rPr>
          <w:lang w:val="nl-NL"/>
        </w:rPr>
        <w:t>HW en Ped zijn opgesteld in de kas aan de linker-, het Pos aan de rechterzijde. In beide kassen liggen de manuaalladen op fronthoogte, chromatisch aflopend vanaf de kerkzijde. De hoofdbalg bevindt zich onder de Pos-lade en is via een harmonikakanaal verbonden met de tussenliggende regulateurbalg. Voor het HW is eveneens een regulateurbalg onder de lade aangebracht. HW en Pos staan opgesteld op pneumatische membraanladen volgens het systeem van Weigle met de registerkasten respectievelijk tussen gis en a (HW) en B en H (Pos). Voor c</w:t>
      </w:r>
      <w:r>
        <w:rPr>
          <w:vertAlign w:val="superscript"/>
          <w:lang w:val="nl-NL"/>
        </w:rPr>
        <w:t>2</w:t>
      </w:r>
      <w:r>
        <w:rPr>
          <w:lang w:val="nl-NL"/>
        </w:rPr>
        <w:t>-f</w:t>
      </w:r>
      <w:r>
        <w:rPr>
          <w:vertAlign w:val="superscript"/>
          <w:lang w:val="nl-NL"/>
        </w:rPr>
        <w:t xml:space="preserve">3 </w:t>
      </w:r>
      <w:r>
        <w:rPr>
          <w:lang w:val="nl-NL"/>
        </w:rPr>
        <w:t>van het HW is een afzonderlijke, verhoogd en dwars opgestelde discantlade aanwezig. Voor C-d</w:t>
      </w:r>
      <w:r>
        <w:rPr>
          <w:vertAlign w:val="superscript"/>
          <w:lang w:val="nl-NL"/>
        </w:rPr>
        <w:t>1</w:t>
      </w:r>
      <w:r>
        <w:rPr>
          <w:lang w:val="nl-NL"/>
        </w:rPr>
        <w:t xml:space="preserve"> van Bourdon 16' HW en Subbass 16' Ped (grenen met eiken voorslagen) is parallel aan de HW-lade een afzonderlijke lade in de onderkas opgesteld: C-Fis chromatisch en vervolgens beurtelings f-d</w:t>
      </w:r>
      <w:r>
        <w:rPr>
          <w:vertAlign w:val="superscript"/>
          <w:lang w:val="nl-NL"/>
        </w:rPr>
        <w:t>1</w:t>
      </w:r>
      <w:r>
        <w:rPr>
          <w:lang w:val="nl-NL"/>
        </w:rPr>
        <w:t xml:space="preserve"> en G-e vanaf het front aflopend. Deze Ped-lade is uitgevoerd met klassieke toonventielen die via hulpbalgjes (uitlatende wind) in de kleppenkast worden geopend. De pneumatische toetstractuur is in 1977 tot aan de voorrelais integraal door een elektrisch circuit vervangen.</w:t>
      </w:r>
    </w:p>
    <w:p>
      <w:pPr>
        <w:pStyle w:val="T1"/>
        <w:jc w:val="start"/>
        <w:rPr>
          <w:lang w:val="nl-NL"/>
        </w:rPr>
      </w:pPr>
      <w:r>
        <w:rPr>
          <w:lang w:val="nl-NL"/>
        </w:rPr>
        <w:t>Volgens het Maarschalkerweerdarchief werden van het labiaalpijpwerk alleen de prestanten 8'-4'-2' in eigen werkplaats vervaardigd. De overige registers werden van toeleveranciers betrokken: de Quint 3' van Adema, de (verdwenen) Dolcissimo 8' van Weigle en de overige registers van Laukhuff.</w:t>
      </w:r>
    </w:p>
    <w:p>
      <w:pPr>
        <w:pStyle w:val="T1"/>
        <w:jc w:val="start"/>
        <w:rPr/>
      </w:pPr>
      <w:r>
        <w:rPr>
          <w:lang w:val="nl-NL"/>
        </w:rPr>
        <w:t>In beide fronten spreken respectievelijk C-Fis (torens) en G-cis (velden) van de Prestant 8' (HW) en de Vioolprestant 8' (Pos). C-H van de registers Roerfluit 8' en Holpijp 8' zijn van grenen (gedekt). De Quintadeen 8' is van metaal en voorzien van kastbaarden en geperste labia, ook het metalen pijpwerk van Roerfluit 8' en Gamba 8' heeft geperste labia. De Bourdon 16', Holpijp 8' en Fluit dolce 4' hebben geperste labia voor respectievelijk dis</w:t>
      </w:r>
      <w:r>
        <w:rPr>
          <w:vertAlign w:val="superscript"/>
          <w:lang w:val="nl-NL"/>
        </w:rPr>
        <w:t>1</w:t>
      </w:r>
      <w:r>
        <w:rPr>
          <w:lang w:val="nl-NL"/>
        </w:rPr>
        <w:t>-h</w:t>
      </w:r>
      <w:r>
        <w:rPr>
          <w:vertAlign w:val="superscript"/>
          <w:lang w:val="nl-NL"/>
        </w:rPr>
        <w:t>1</w:t>
      </w:r>
      <w:r>
        <w:rPr>
          <w:lang w:val="nl-NL"/>
        </w:rPr>
        <w:t>, c-h en C-H. Het vervolg van deze drie registers heeft bolrond voorstaande labia, met uitzondering van de conisch open pijpen voor gis</w:t>
      </w:r>
      <w:r>
        <w:rPr>
          <w:vertAlign w:val="superscript"/>
          <w:lang w:val="nl-NL"/>
        </w:rPr>
        <w:t>2</w:t>
      </w:r>
      <w:r>
        <w:rPr>
          <w:lang w:val="nl-NL"/>
        </w:rPr>
        <w:t>-f</w:t>
      </w:r>
      <w:r>
        <w:rPr>
          <w:vertAlign w:val="superscript"/>
          <w:lang w:val="nl-NL"/>
        </w:rPr>
        <w:t>3</w:t>
      </w:r>
      <w:r>
        <w:rPr>
          <w:lang w:val="nl-NL"/>
        </w:rPr>
        <w:t xml:space="preserve"> van de Fluit dolce 4'. De Quint 3' heeft spits geritste bovenlabia en rond geritste onderlabia, de overige binnenpijpen van de prestantregisters hebben geen duidelijke onderlabiumvorm. De Salicet 4' is in 1977 uit voorraad geplaatst en draagt in slagletters de naam </w:t>
      </w:r>
      <w:r>
        <w:rPr>
          <w:i/>
          <w:lang w:val="nl-NL"/>
        </w:rPr>
        <w:t>Fugara 4</w:t>
      </w:r>
      <w:r>
        <w:rPr>
          <w:lang w:val="nl-NL"/>
        </w:rPr>
        <w:t>. Expressions zijn aanwezig bij de registers Prestant 8', Vioolprestant 8', Gamba 8' en Salicet 4' (geheel), Octaaf 4' (C-f</w:t>
      </w:r>
      <w:r>
        <w:rPr>
          <w:vertAlign w:val="superscript"/>
          <w:lang w:val="nl-NL"/>
        </w:rPr>
        <w:t>2</w:t>
      </w:r>
      <w:r>
        <w:rPr>
          <w:lang w:val="nl-NL"/>
        </w:rPr>
        <w:t>) en Quint 3' en Octaaf 2' (C-h</w:t>
      </w:r>
      <w:r>
        <w:rPr>
          <w:vertAlign w:val="superscript"/>
          <w:lang w:val="nl-NL"/>
        </w:rPr>
        <w:t>1</w:t>
      </w:r>
      <w:r>
        <w:rPr>
          <w:lang w:val="nl-NL"/>
        </w:rPr>
        <w:t>). C-H van de Gamba 8' en C-fis van de Salicet 4' hebben houten rolbaarden, c-gis</w:t>
      </w:r>
      <w:r>
        <w:rPr>
          <w:vertAlign w:val="superscript"/>
          <w:lang w:val="nl-NL"/>
        </w:rPr>
        <w:t>2</w:t>
      </w:r>
      <w:r>
        <w:rPr>
          <w:lang w:val="nl-NL"/>
        </w:rPr>
        <w:t xml:space="preserve"> van de Gamba 8' geelkoperen freins. Zijbaarden zijn bij het open pijpwerk aanwezig bij Vioolprestant 8' (C-f</w:t>
      </w:r>
      <w:r>
        <w:rPr>
          <w:vertAlign w:val="superscript"/>
          <w:lang w:val="nl-NL"/>
        </w:rPr>
        <w:t>3</w:t>
      </w:r>
      <w:r>
        <w:rPr>
          <w:lang w:val="nl-NL"/>
        </w:rPr>
        <w:t>), Gamba 8' (a</w:t>
      </w:r>
      <w:r>
        <w:rPr>
          <w:vertAlign w:val="superscript"/>
          <w:lang w:val="nl-NL"/>
        </w:rPr>
        <w:t>2</w:t>
      </w:r>
      <w:r>
        <w:rPr>
          <w:lang w:val="nl-NL"/>
        </w:rPr>
        <w:t>-f</w:t>
      </w:r>
      <w:r>
        <w:rPr>
          <w:vertAlign w:val="superscript"/>
          <w:lang w:val="nl-NL"/>
        </w:rPr>
        <w:t>3</w:t>
      </w:r>
      <w:r>
        <w:rPr>
          <w:lang w:val="nl-NL"/>
        </w:rPr>
        <w:t>) en Salicet 4' (g-h) Pos alsmede bij de registers Prestant 8' (d-f</w:t>
      </w:r>
      <w:r>
        <w:rPr>
          <w:vertAlign w:val="superscript"/>
          <w:lang w:val="nl-NL"/>
        </w:rPr>
        <w:t>1</w:t>
      </w:r>
      <w:r>
        <w:rPr>
          <w:lang w:val="nl-NL"/>
        </w:rPr>
        <w:t>), Octaaf 4' en Quint 3' (C-f) en Octaaf 2' (C-F). De Sexquialter heeft expressions tot en met a</w:t>
      </w:r>
      <w:r>
        <w:rPr>
          <w:vertAlign w:val="superscript"/>
          <w:lang w:val="nl-NL"/>
        </w:rPr>
        <w:t>1</w:t>
      </w:r>
      <w:r>
        <w:rPr>
          <w:lang w:val="nl-NL"/>
        </w:rPr>
        <w:t xml:space="preserve"> respectievelijk c</w:t>
      </w:r>
      <w:r>
        <w:rPr>
          <w:vertAlign w:val="superscript"/>
          <w:lang w:val="nl-NL"/>
        </w:rPr>
        <w:t>1</w:t>
      </w:r>
      <w:r>
        <w:rPr>
          <w:lang w:val="nl-NL"/>
        </w:rPr>
        <w:t>.</w:t>
      </w:r>
    </w:p>
    <w:p>
      <w:pPr>
        <w:pStyle w:val="T1"/>
        <w:jc w:val="start"/>
        <w:rPr/>
      </w:pPr>
      <w:r>
        <w:rPr>
          <w:lang w:val="nl-NL"/>
        </w:rPr>
        <w:t>De Trompet 8' heeft metalen stevels en overkragende koppen en recht gesloten messing kelen (C-h beleerd). De bekers zijn voorzien van intonatieogen; fis</w:t>
      </w:r>
      <w:r>
        <w:rPr>
          <w:vertAlign w:val="superscript"/>
          <w:lang w:val="nl-NL"/>
        </w:rPr>
        <w:t>2</w:t>
      </w:r>
      <w:r>
        <w:rPr>
          <w:lang w:val="nl-NL"/>
        </w:rPr>
        <w:t>-f</w:t>
      </w:r>
      <w:r>
        <w:rPr>
          <w:vertAlign w:val="superscript"/>
          <w:lang w:val="nl-NL"/>
        </w:rPr>
        <w:t>3</w:t>
      </w:r>
      <w:r>
        <w:rPr>
          <w:lang w:val="nl-NL"/>
        </w:rPr>
        <w:t xml:space="preserve"> hebben dubbele bekerlengte.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lang w:val="fr-FR"/>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lang w:val="fr-FR"/>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2010-03-16T13:39:00Z</dcterms:created>
  <dc:creator>WS1</dc:creator>
  <dc:description/>
  <dc:language>en-US</dc:language>
  <cp:lastModifiedBy>Hans Steketee</cp:lastModifiedBy>
  <dcterms:modified xsi:type="dcterms:W3CDTF">2010-03-16T13:39:00Z</dcterms:modified>
  <cp:revision>2</cp:revision>
  <dc:subject/>
  <dc:title>Olst / 1880</dc:title>
</cp:coreProperties>
</file>