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Kamerik / 1898</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Kerk gebouwd in 1833 op een T-vormige plattegrond tegen toren uit het eerste kwart van de 16e eeuw.</w:t>
      </w:r>
    </w:p>
    <w:p>
      <w:pPr>
        <w:pStyle w:val="T1"/>
        <w:jc w:val="start"/>
        <w:rPr>
          <w:i/>
          <w:i/>
          <w:iCs/>
          <w:lang w:val="nl-NL"/>
        </w:rPr>
      </w:pPr>
      <w:r>
        <w:rPr>
          <w:i/>
          <w:iCs/>
          <w:lang w:val="nl-NL"/>
        </w:rPr>
      </w:r>
    </w:p>
    <w:p>
      <w:pPr>
        <w:pStyle w:val="T1"/>
        <w:jc w:val="start"/>
        <w:rPr>
          <w:lang w:val="nl-NL"/>
        </w:rPr>
      </w:pPr>
      <w:r>
        <w:rPr>
          <w:lang w:val="nl-NL"/>
        </w:rPr>
        <w:t>Kas: 1898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oorspronkelijke orgel van Van Eldik omvatte alleen de hoofdwerkkas van het tegenwoordige instrument. Het rugwerk werd in 1972 in bijpassende stijl gemaakt. De neobarokke hoofdwerkkas, die aanvankelijk in de balustrade was geplaatst, heeft een traditionele vijfdelige opbouw met halfronde middentoren, spitse zijtorens en ongedeelde vlakke tussenvelden met verhoogde frontstokken. Blinderingen werden alleen aan de pijpuiteinden aangebracht en bestaan in de torens uit smalle schotten, aan de onderzijde uitgezaagd met de contouren van onregelmatige accolades. Merkwaardige, grillig lopende accolades bakenen ook de brede schotten boven de tussenvelden af. Onder de tussenvelden panelen met ruitvormige vullingen. De torens, die worden geflankeerd door ingekaste pilasters, eindigen aan de bovenzijde in geprofileerde kappen met tandlijsten, bekroond door beeldjes van bazuinblazende engelen en koning David met de harp. Onder de torens geprofileerde consoles. De middelste console liep van oorsprong aan de onderzijde uit in een conische druiper, die nu ter wille van de nieuw aangebrachte klaviatuur is verwijderd. Tussen de consoles panelen, waarop banderollen met het bouwjaar zijn geschilderd. Vóór de verbouwing van 1972 was de onderkas voorzien van vier rechthoekige panelen, beschilderd met rozetten en bladvoluten. Toen waren ook nog de vleugelstukken aanwezig, bestaande uit twee S-ranken boven elkaar, in de onderste krul voorzien van een rozet. De wangen rustten op twee rechthoekige, naast de onderkas geplaatste panelen boven elkaar, waarvan de bovenste was voorzien van soortgelijk schilderwerk als op de onderkas. Deze panelen zijn samen met de vleugelstukken verwijderd.</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Kerkelijke Courant</w:t>
      </w:r>
      <w:r>
        <w:rPr>
          <w:lang w:val="nl-NL"/>
        </w:rPr>
        <w:t>, 52/36 (1898).</w:t>
      </w:r>
    </w:p>
    <w:p>
      <w:pPr>
        <w:pStyle w:val="T3Lit"/>
        <w:jc w:val="start"/>
        <w:rPr/>
      </w:pPr>
      <w:r>
        <w:rPr>
          <w:lang w:val="nl-NL"/>
        </w:rPr>
        <w:t xml:space="preserve">Bert Wisgerhof, </w:t>
      </w:r>
      <w:r>
        <w:rPr>
          <w:i/>
          <w:iCs/>
          <w:lang w:val="nl-NL"/>
        </w:rPr>
        <w:t>Utrechts orgellandschap</w:t>
      </w:r>
      <w:r>
        <w:rPr>
          <w:lang w:val="nl-NL"/>
        </w:rPr>
        <w:t>. Amersfoort, 1979, 80-81.</w:t>
      </w:r>
    </w:p>
    <w:p>
      <w:pPr>
        <w:pStyle w:val="T3Lit"/>
        <w:rPr>
          <w:lang w:val="nl-NL"/>
        </w:rPr>
      </w:pPr>
      <w:r>
        <w:rPr>
          <w:lang w:val="nl-NL"/>
        </w:rPr>
      </w:r>
    </w:p>
    <w:p>
      <w:pPr>
        <w:pStyle w:val="T3Lit"/>
        <w:rPr>
          <w:lang w:val="nl-NL"/>
        </w:rPr>
      </w:pPr>
      <w:r>
        <w:rPr>
          <w:lang w:val="nl-NL"/>
        </w:rPr>
        <w:t>Orgelnummer 760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Van Eldik</w:t>
      </w:r>
    </w:p>
    <w:p>
      <w:pPr>
        <w:pStyle w:val="T1"/>
        <w:jc w:val="start"/>
        <w:rPr>
          <w:lang w:val="nl-NL"/>
        </w:rPr>
      </w:pPr>
      <w:r>
        <w:rPr>
          <w:lang w:val="nl-NL"/>
        </w:rPr>
        <w:t>2. K.B. Blank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1. 1898</w:t>
      </w:r>
    </w:p>
    <w:p>
      <w:pPr>
        <w:pStyle w:val="T1"/>
        <w:jc w:val="start"/>
        <w:rPr>
          <w:lang w:val="nl-NL"/>
        </w:rPr>
      </w:pPr>
      <w:r>
        <w:rPr>
          <w:lang w:val="nl-NL"/>
        </w:rPr>
        <w:t>2. 1972</w:t>
      </w:r>
    </w:p>
    <w:p>
      <w:pPr>
        <w:pStyle w:val="T1"/>
        <w:jc w:val="start"/>
        <w:rPr>
          <w:lang w:val="nl-NL"/>
        </w:rPr>
      </w:pPr>
      <w:r>
        <w:rPr>
          <w:lang w:val="nl-NL"/>
        </w:rPr>
      </w:r>
    </w:p>
    <w:p>
      <w:pPr>
        <w:pStyle w:val="T1"/>
        <w:jc w:val="start"/>
        <w:rPr/>
      </w:pPr>
      <w:r>
        <w:rPr/>
        <w:t xml:space="preserve">Dispositie 1898 </w:t>
      </w:r>
    </w:p>
    <w:tbl>
      <w:tblPr>
        <w:tblW w:w="4296" w:type="dxa"/>
        <w:jc w:val="start"/>
        <w:tblInd w:w="-70" w:type="dxa"/>
        <w:tblLayout w:type="fixed"/>
        <w:tblCellMar>
          <w:top w:w="0" w:type="dxa"/>
          <w:start w:w="70" w:type="dxa"/>
          <w:bottom w:w="0" w:type="dxa"/>
          <w:end w:w="70" w:type="dxa"/>
        </w:tblCellMar>
      </w:tblPr>
      <w:tblGrid>
        <w:gridCol w:w="1330"/>
        <w:gridCol w:w="901"/>
        <w:gridCol w:w="1690"/>
        <w:gridCol w:w="375"/>
      </w:tblGrid>
      <w:tr>
        <w:trPr/>
        <w:tc>
          <w:tcPr>
            <w:tcW w:w="1330" w:type="dxa"/>
            <w:tcBorders/>
          </w:tcPr>
          <w:p>
            <w:pPr>
              <w:pStyle w:val="T4dispositie"/>
              <w:jc w:val="start"/>
              <w:rPr>
                <w:i/>
                <w:i/>
                <w:iCs/>
                <w:lang w:val="nl-NL"/>
              </w:rPr>
            </w:pPr>
            <w:r>
              <w:rPr>
                <w:i/>
                <w:iCs/>
                <w:lang w:val="nl-NL"/>
              </w:rPr>
              <w:t>Hoofdwerk</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Violoncel</w:t>
            </w:r>
          </w:p>
          <w:p>
            <w:pPr>
              <w:pStyle w:val="T4dispositie"/>
              <w:jc w:val="start"/>
              <w:rPr>
                <w:lang w:val="nl-NL"/>
              </w:rPr>
            </w:pPr>
            <w:r>
              <w:rPr>
                <w:lang w:val="nl-NL"/>
              </w:rPr>
              <w:t>Octaaf</w:t>
            </w:r>
          </w:p>
          <w:p>
            <w:pPr>
              <w:pStyle w:val="T4dispositie"/>
              <w:jc w:val="start"/>
              <w:rPr>
                <w:lang w:val="nl-NL"/>
              </w:rPr>
            </w:pPr>
            <w:r>
              <w:rPr>
                <w:lang w:val="nl-NL"/>
              </w:rPr>
              <w:t>Nasard</w:t>
            </w:r>
          </w:p>
          <w:p>
            <w:pPr>
              <w:pStyle w:val="T4dispositie"/>
              <w:jc w:val="start"/>
              <w:rPr>
                <w:lang w:val="nl-NL"/>
              </w:rPr>
            </w:pPr>
            <w:r>
              <w:rPr>
                <w:lang w:val="nl-NL"/>
              </w:rPr>
              <w:t>Octaaf</w:t>
            </w:r>
          </w:p>
          <w:p>
            <w:pPr>
              <w:pStyle w:val="T4dispositie"/>
              <w:jc w:val="start"/>
              <w:rPr>
                <w:lang w:val="nl-NL"/>
              </w:rPr>
            </w:pPr>
            <w:r>
              <w:rPr>
                <w:lang w:val="nl-NL"/>
              </w:rPr>
              <w:t>Trompet</w:t>
            </w:r>
          </w:p>
        </w:tc>
        <w:tc>
          <w:tcPr>
            <w:tcW w:w="901"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690" w:type="dxa"/>
            <w:tcBorders/>
          </w:tcPr>
          <w:p>
            <w:pPr>
              <w:pStyle w:val="T4dispositie"/>
              <w:jc w:val="start"/>
              <w:rPr>
                <w:i/>
                <w:i/>
                <w:iCs/>
                <w:lang w:val="nl-NL"/>
              </w:rPr>
            </w:pPr>
            <w:r>
              <w:rPr>
                <w:i/>
                <w:iCs/>
                <w:lang w:val="nl-NL"/>
              </w:rPr>
              <w:t>Bovenwerk</w:t>
            </w:r>
          </w:p>
          <w:p>
            <w:pPr>
              <w:pStyle w:val="T4dispositie"/>
              <w:jc w:val="start"/>
              <w:rPr>
                <w:lang w:val="nl-NL"/>
              </w:rPr>
            </w:pPr>
            <w:r>
              <w:rPr>
                <w:lang w:val="nl-NL"/>
              </w:rPr>
              <w:t>Holpijp</w:t>
            </w:r>
          </w:p>
          <w:p>
            <w:pPr>
              <w:pStyle w:val="T4dispositie"/>
              <w:jc w:val="start"/>
              <w:rPr>
                <w:lang w:val="nl-NL"/>
              </w:rPr>
            </w:pPr>
            <w:r>
              <w:rPr>
                <w:lang w:val="nl-NL"/>
              </w:rPr>
              <w:t>Vioolprestant</w:t>
            </w:r>
          </w:p>
          <w:p>
            <w:pPr>
              <w:pStyle w:val="T4dispositie"/>
              <w:jc w:val="start"/>
              <w:rPr>
                <w:lang w:val="nl-NL"/>
              </w:rPr>
            </w:pPr>
            <w:r>
              <w:rPr>
                <w:lang w:val="nl-NL"/>
              </w:rPr>
              <w:t>Viola</w:t>
            </w:r>
          </w:p>
          <w:p>
            <w:pPr>
              <w:pStyle w:val="T4dispositie"/>
              <w:jc w:val="start"/>
              <w:rPr>
                <w:lang w:val="nl-NL"/>
              </w:rPr>
            </w:pPr>
            <w:r>
              <w:rPr>
                <w:lang w:val="nl-NL"/>
              </w:rPr>
              <w:t>Fluit dolce</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rPr>
          <w:lang w:val="nl-NL"/>
        </w:rPr>
      </w:pPr>
      <w:r>
        <w:rPr>
          <w:lang w:val="nl-NL"/>
        </w:rPr>
      </w:r>
    </w:p>
    <w:p>
      <w:pPr>
        <w:pStyle w:val="T4dispositie"/>
        <w:rPr/>
      </w:pPr>
      <w:r>
        <w:rPr>
          <w:lang w:val="nl-NL"/>
        </w:rPr>
        <w:t>manuaalomvang C-f</w:t>
      </w:r>
      <w:r>
        <w:rPr>
          <w:vertAlign w:val="superscript"/>
          <w:lang w:val="nl-NL"/>
        </w:rPr>
        <w:t>3</w:t>
      </w:r>
    </w:p>
    <w:p>
      <w:pPr>
        <w:pStyle w:val="T4dispositie"/>
        <w:rPr/>
      </w:pPr>
      <w:r>
        <w:rPr>
          <w:lang w:val="nl-NL"/>
        </w:rPr>
        <w:t>aangehangen pedaal C-d</w:t>
      </w:r>
      <w:r>
        <w:rPr>
          <w:vertAlign w:val="superscript"/>
          <w:lang w:val="nl-NL"/>
        </w:rPr>
        <w:t>1</w:t>
      </w:r>
    </w:p>
    <w:p>
      <w:pPr>
        <w:pStyle w:val="T4dispositie"/>
        <w:rPr>
          <w:lang w:val="nl-NL"/>
        </w:rPr>
      </w:pPr>
      <w:r>
        <w:rPr>
          <w:lang w:val="nl-NL"/>
        </w:rPr>
        <w:t>manuaalkoppel</w:t>
      </w:r>
    </w:p>
    <w:p>
      <w:pPr>
        <w:pStyle w:val="T1"/>
        <w:jc w:val="start"/>
        <w:rPr>
          <w:lang w:val="nl-NL"/>
        </w:rPr>
      </w:pPr>
      <w:r>
        <w:rPr>
          <w:lang w:val="nl-NL"/>
        </w:rPr>
      </w:r>
    </w:p>
    <w:p>
      <w:pPr>
        <w:pStyle w:val="T1"/>
        <w:jc w:val="start"/>
        <w:rPr>
          <w:lang w:val="nl-NL"/>
        </w:rPr>
      </w:pPr>
      <w:r>
        <w:rPr>
          <w:lang w:val="nl-NL"/>
        </w:rPr>
        <w:t>M. Vermeulen 1956</w:t>
      </w:r>
    </w:p>
    <w:p>
      <w:pPr>
        <w:pStyle w:val="T1"/>
        <w:numPr>
          <w:ilvl w:val="0"/>
          <w:numId w:val="3"/>
        </w:numPr>
        <w:jc w:val="start"/>
        <w:rPr>
          <w:lang w:val="nl-NL"/>
        </w:rPr>
      </w:pPr>
      <w:r>
        <w:rPr>
          <w:lang w:val="nl-NL"/>
        </w:rPr>
        <w:t>herintonatie</w:t>
      </w:r>
    </w:p>
    <w:p>
      <w:pPr>
        <w:pStyle w:val="T1"/>
        <w:jc w:val="start"/>
        <w:rPr>
          <w:lang w:val="nl-NL"/>
        </w:rPr>
      </w:pPr>
      <w:r>
        <w:rPr>
          <w:lang w:val="nl-NL"/>
        </w:rPr>
      </w:r>
    </w:p>
    <w:p>
      <w:pPr>
        <w:pStyle w:val="T1"/>
        <w:jc w:val="start"/>
        <w:rPr>
          <w:lang w:val="nl-NL"/>
        </w:rPr>
      </w:pPr>
      <w:r>
        <w:rPr>
          <w:lang w:val="nl-NL"/>
        </w:rPr>
        <w:t>K.B. Blank &amp; Zn 1972</w:t>
      </w:r>
    </w:p>
    <w:p>
      <w:pPr>
        <w:pStyle w:val="T1"/>
        <w:numPr>
          <w:ilvl w:val="0"/>
          <w:numId w:val="3"/>
        </w:numPr>
        <w:jc w:val="start"/>
        <w:rPr>
          <w:lang w:val="nl-NL"/>
        </w:rPr>
      </w:pPr>
      <w:r>
        <w:rPr>
          <w:lang w:val="nl-NL"/>
        </w:rPr>
        <w:t>nieuw orgel in bestaande kas met gebruikmaking enig oud pijpwerk</w:t>
      </w:r>
    </w:p>
    <w:p>
      <w:pPr>
        <w:pStyle w:val="T1"/>
        <w:numPr>
          <w:ilvl w:val="0"/>
          <w:numId w:val="3"/>
        </w:numPr>
        <w:jc w:val="start"/>
        <w:rPr>
          <w:lang w:val="nl-NL"/>
        </w:rPr>
      </w:pPr>
      <w:r>
        <w:rPr>
          <w:lang w:val="nl-NL"/>
        </w:rPr>
        <w:t>kas RP toegevoegd</w:t>
      </w:r>
    </w:p>
    <w:p>
      <w:pPr>
        <w:pStyle w:val="T1"/>
        <w:jc w:val="start"/>
        <w:rPr>
          <w:lang w:val="nl-NL"/>
        </w:rPr>
      </w:pPr>
      <w:r>
        <w:rPr>
          <w:lang w:val="nl-NL"/>
        </w:rPr>
      </w:r>
    </w:p>
    <w:p>
      <w:pPr>
        <w:pStyle w:val="T1"/>
        <w:jc w:val="start"/>
        <w:rPr>
          <w:lang w:val="nl-NL"/>
        </w:rPr>
      </w:pPr>
      <w:r>
        <w:rPr>
          <w:lang w:val="nl-NL"/>
        </w:rPr>
        <w:t>Flentrop Orgelbouw 2003</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6062" w:type="dxa"/>
        <w:jc w:val="start"/>
        <w:tblInd w:w="-70" w:type="dxa"/>
        <w:tblLayout w:type="fixed"/>
        <w:tblCellMar>
          <w:top w:w="0" w:type="dxa"/>
          <w:start w:w="70" w:type="dxa"/>
          <w:bottom w:w="0" w:type="dxa"/>
          <w:end w:w="70" w:type="dxa"/>
        </w:tblCellMar>
      </w:tblPr>
      <w:tblGrid>
        <w:gridCol w:w="1330"/>
        <w:gridCol w:w="901"/>
        <w:gridCol w:w="1439"/>
        <w:gridCol w:w="626"/>
        <w:gridCol w:w="1077"/>
        <w:gridCol w:w="689"/>
      </w:tblGrid>
      <w:tr>
        <w:trPr/>
        <w:tc>
          <w:tcPr>
            <w:tcW w:w="1330" w:type="dxa"/>
            <w:tcBorders/>
          </w:tcPr>
          <w:p>
            <w:pPr>
              <w:pStyle w:val="T4dispositie"/>
              <w:jc w:val="start"/>
              <w:rPr>
                <w:i/>
                <w:i/>
                <w:iCs/>
                <w:lang w:val="nl-NL"/>
              </w:rPr>
            </w:pPr>
            <w:r>
              <w:rPr>
                <w:i/>
                <w:iCs/>
                <w:lang w:val="nl-NL"/>
              </w:rPr>
              <w:t>Hoofdwerk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en-GB"/>
              </w:rPr>
            </w:pPr>
            <w:r>
              <w:rPr>
                <w:lang w:val="en-GB"/>
              </w:rPr>
              <w:t>Nasard</w:t>
            </w:r>
          </w:p>
          <w:p>
            <w:pPr>
              <w:pStyle w:val="T4dispositie"/>
              <w:jc w:val="start"/>
              <w:rPr>
                <w:lang w:val="en-GB"/>
              </w:rPr>
            </w:pPr>
            <w:r>
              <w:rPr>
                <w:lang w:val="en-GB"/>
              </w:rPr>
              <w:t>Octaaf</w:t>
            </w:r>
          </w:p>
          <w:p>
            <w:pPr>
              <w:pStyle w:val="T4dispositie"/>
              <w:jc w:val="start"/>
              <w:rPr>
                <w:lang w:val="en-GB"/>
              </w:rPr>
            </w:pPr>
            <w:r>
              <w:rPr>
                <w:lang w:val="en-GB"/>
              </w:rPr>
              <w:t>Mixtuur</w:t>
            </w:r>
          </w:p>
          <w:p>
            <w:pPr>
              <w:pStyle w:val="T4dispositie"/>
              <w:jc w:val="start"/>
              <w:rPr>
                <w:lang w:val="en-GB"/>
              </w:rPr>
            </w:pPr>
            <w:r>
              <w:rPr>
                <w:lang w:val="en-GB"/>
              </w:rPr>
              <w:t>Trompet</w:t>
            </w:r>
          </w:p>
        </w:tc>
        <w:tc>
          <w:tcPr>
            <w:tcW w:w="901"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3'</w:t>
            </w:r>
          </w:p>
          <w:p>
            <w:pPr>
              <w:pStyle w:val="T4dispositie"/>
              <w:jc w:val="start"/>
              <w:rPr>
                <w:lang w:val="en-GB"/>
              </w:rPr>
            </w:pPr>
            <w:r>
              <w:rPr>
                <w:lang w:val="en-GB"/>
              </w:rPr>
              <w:t>2</w:t>
            </w:r>
            <w:r>
              <w:rPr>
                <w:lang w:val="fr-FR"/>
              </w:rPr>
              <w:t>'</w:t>
            </w:r>
          </w:p>
          <w:p>
            <w:pPr>
              <w:pStyle w:val="T4dispositie"/>
              <w:jc w:val="start"/>
              <w:rPr>
                <w:lang w:val="en-GB"/>
              </w:rPr>
            </w:pPr>
            <w:r>
              <w:rPr>
                <w:lang w:val="en-GB"/>
              </w:rPr>
              <w:t>3-4 st.</w:t>
            </w:r>
          </w:p>
          <w:p>
            <w:pPr>
              <w:pStyle w:val="T4dispositie"/>
              <w:jc w:val="start"/>
              <w:rPr>
                <w:lang w:val="nl-NL"/>
              </w:rPr>
            </w:pPr>
            <w:r>
              <w:rPr>
                <w:lang w:val="nl-NL"/>
              </w:rPr>
              <w:t>8</w:t>
            </w:r>
            <w:r>
              <w:rPr>
                <w:lang w:val="fr-FR"/>
              </w:rPr>
              <w:t>'</w:t>
            </w:r>
          </w:p>
        </w:tc>
        <w:tc>
          <w:tcPr>
            <w:tcW w:w="1439" w:type="dxa"/>
            <w:tcBorders/>
          </w:tcPr>
          <w:p>
            <w:pPr>
              <w:pStyle w:val="T4dispositie"/>
              <w:jc w:val="start"/>
              <w:rPr>
                <w:i/>
                <w:i/>
                <w:iCs/>
                <w:lang w:val="nl-NL"/>
              </w:rPr>
            </w:pPr>
            <w:r>
              <w:rPr>
                <w:i/>
                <w:iCs/>
                <w:lang w:val="nl-NL"/>
              </w:rPr>
              <w:t>Rugpositief (I)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Sexquialter</w:t>
            </w:r>
          </w:p>
        </w:tc>
        <w:tc>
          <w:tcPr>
            <w:tcW w:w="62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1-2 st.</w:t>
            </w:r>
          </w:p>
        </w:tc>
        <w:tc>
          <w:tcPr>
            <w:tcW w:w="1077" w:type="dxa"/>
            <w:tcBorders/>
          </w:tcPr>
          <w:p>
            <w:pPr>
              <w:pStyle w:val="T4dispositie"/>
              <w:jc w:val="start"/>
              <w:rPr>
                <w:i/>
                <w:i/>
                <w:iCs/>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Gedekt</w:t>
            </w:r>
          </w:p>
          <w:p>
            <w:pPr>
              <w:pStyle w:val="T4dispositie"/>
              <w:jc w:val="start"/>
              <w:rPr>
                <w:lang w:val="nl-NL"/>
              </w:rPr>
            </w:pPr>
            <w:r>
              <w:rPr>
                <w:lang w:val="nl-NL"/>
              </w:rPr>
              <w:t>Fagot</w:t>
            </w:r>
          </w:p>
        </w:tc>
        <w:tc>
          <w:tcPr>
            <w:tcW w:w="68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Ped-HW, Ped-RP</w:t>
      </w:r>
    </w:p>
    <w:p>
      <w:pPr>
        <w:pStyle w:val="T1"/>
        <w:jc w:val="start"/>
        <w:rPr>
          <w:lang w:val="nl-NL"/>
        </w:rPr>
      </w:pPr>
      <w:r>
        <w:rPr>
          <w:lang w:val="nl-NL"/>
        </w:rPr>
        <w:t>tremulant RP</w:t>
      </w:r>
    </w:p>
    <w:p>
      <w:pPr>
        <w:pStyle w:val="T1"/>
        <w:jc w:val="start"/>
        <w:rPr>
          <w:lang w:val="nl-NL"/>
        </w:rPr>
      </w:pPr>
      <w:r>
        <w:rPr>
          <w:lang w:val="nl-NL"/>
        </w:rPr>
      </w:r>
    </w:p>
    <w:p>
      <w:pPr>
        <w:pStyle w:val="T1"/>
        <w:jc w:val="start"/>
        <w:rPr>
          <w:lang w:val="nl-NL"/>
        </w:rPr>
      </w:pPr>
      <w:r>
        <w:rPr>
          <w:lang w:val="nl-NL"/>
        </w:rPr>
        <w:t>Samenstelling vulstemmen</w:t>
      </w:r>
    </w:p>
    <w:tbl>
      <w:tblPr>
        <w:tblW w:w="4578" w:type="dxa"/>
        <w:jc w:val="start"/>
        <w:tblInd w:w="-70" w:type="dxa"/>
        <w:tblLayout w:type="fixed"/>
        <w:tblCellMar>
          <w:top w:w="0" w:type="dxa"/>
          <w:start w:w="70" w:type="dxa"/>
          <w:bottom w:w="0" w:type="dxa"/>
          <w:end w:w="70" w:type="dxa"/>
        </w:tblCellMar>
      </w:tblPr>
      <w:tblGrid>
        <w:gridCol w:w="1474"/>
        <w:gridCol w:w="619"/>
        <w:gridCol w:w="619"/>
        <w:gridCol w:w="619"/>
        <w:gridCol w:w="628"/>
        <w:gridCol w:w="619"/>
      </w:tblGrid>
      <w:tr>
        <w:trPr/>
        <w:tc>
          <w:tcPr>
            <w:tcW w:w="1474" w:type="dxa"/>
            <w:tcBorders/>
          </w:tcPr>
          <w:p>
            <w:pPr>
              <w:pStyle w:val="T1"/>
              <w:jc w:val="start"/>
              <w:rPr>
                <w:lang w:val="nl-NL"/>
              </w:rPr>
            </w:pPr>
            <w:r>
              <w:rPr>
                <w:lang w:val="nl-NL"/>
              </w:rPr>
              <w:t>Mixtuur HW</w:t>
            </w:r>
          </w:p>
        </w:tc>
        <w:tc>
          <w:tcPr>
            <w:tcW w:w="619"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619"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619"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628"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619" w:type="dxa"/>
            <w:tcBorders/>
          </w:tcPr>
          <w:p>
            <w:pPr>
              <w:pStyle w:val="T4dispositie"/>
              <w:rPr/>
            </w:pPr>
            <w:r>
              <w:rPr/>
              <w:t>c</w:t>
            </w:r>
            <w:r>
              <w:rPr>
                <w:vertAlign w:val="superscript"/>
              </w:rPr>
              <w:t>3</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tbl>
      <w:tblPr>
        <w:tblW w:w="3120" w:type="dxa"/>
        <w:jc w:val="start"/>
        <w:tblInd w:w="-70" w:type="dxa"/>
        <w:tblLayout w:type="fixed"/>
        <w:tblCellMar>
          <w:top w:w="0" w:type="dxa"/>
          <w:start w:w="70" w:type="dxa"/>
          <w:bottom w:w="0" w:type="dxa"/>
          <w:end w:w="70" w:type="dxa"/>
        </w:tblCellMar>
      </w:tblPr>
      <w:tblGrid>
        <w:gridCol w:w="1662"/>
        <w:gridCol w:w="729"/>
        <w:gridCol w:w="729"/>
      </w:tblGrid>
      <w:tr>
        <w:trPr/>
        <w:tc>
          <w:tcPr>
            <w:tcW w:w="1662" w:type="dxa"/>
            <w:tcBorders/>
          </w:tcPr>
          <w:p>
            <w:pPr>
              <w:pStyle w:val="T1"/>
              <w:jc w:val="start"/>
              <w:rPr>
                <w:lang w:val="nl-NL"/>
              </w:rPr>
            </w:pPr>
            <w:r>
              <w:rPr>
                <w:lang w:val="nl-NL"/>
              </w:rPr>
              <w:t>Sexquialter RP</w:t>
            </w:r>
          </w:p>
        </w:tc>
        <w:tc>
          <w:tcPr>
            <w:tcW w:w="729" w:type="dxa"/>
            <w:tcBorders/>
          </w:tcPr>
          <w:p>
            <w:pPr>
              <w:pStyle w:val="T4dispositie"/>
              <w:rPr/>
            </w:pPr>
            <w:r>
              <w:rPr/>
              <w:t>C</w:t>
            </w:r>
          </w:p>
          <w:p>
            <w:pPr>
              <w:pStyle w:val="T4dispositie"/>
              <w:rPr/>
            </w:pPr>
            <w:r>
              <w:rPr/>
              <w:t>2 2/3</w:t>
            </w:r>
          </w:p>
        </w:tc>
        <w:tc>
          <w:tcPr>
            <w:tcW w:w="729" w:type="dxa"/>
            <w:tcBorders/>
          </w:tcPr>
          <w:p>
            <w:pPr>
              <w:pStyle w:val="T4dispositie"/>
              <w:rPr/>
            </w:pPr>
            <w:r>
              <w:rPr/>
              <w:t>c</w:t>
            </w:r>
            <w:r>
              <w:rPr>
                <w:vertAlign w:val="superscript"/>
              </w:rPr>
              <w:t>1</w:t>
            </w:r>
          </w:p>
          <w:p>
            <w:pPr>
              <w:pStyle w:val="T4dispositie"/>
              <w:rPr/>
            </w:pPr>
            <w:r>
              <w:rPr/>
              <w:t>2 2/3</w:t>
            </w:r>
          </w:p>
          <w:p>
            <w:pPr>
              <w:pStyle w:val="T4dispositie"/>
              <w:rPr/>
            </w:pPr>
            <w:r>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regulateurs</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kas van het RP is ontworpen door G. Wortman; hij vervaardigde ook de bijbehorende ornamentiek. HW en Ped staan op een gecombineerde lade. Oud pijpwerk is nog aanwezig in de volgende registers: HW Prestant 8' (geheel), Octaaf 4' (c-f</w:t>
      </w:r>
      <w:r>
        <w:rPr>
          <w:vertAlign w:val="superscript"/>
          <w:lang w:val="nl-NL"/>
        </w:rPr>
        <w:t>2</w:t>
      </w:r>
      <w:r>
        <w:rPr>
          <w:lang w:val="nl-NL"/>
        </w:rPr>
        <w:t>), Octaaf 2' (C-f</w:t>
      </w:r>
      <w:r>
        <w:rPr>
          <w:vertAlign w:val="superscript"/>
          <w:lang w:val="nl-NL"/>
        </w:rPr>
        <w:t>1</w:t>
      </w:r>
      <w:r>
        <w:rPr>
          <w:lang w:val="nl-NL"/>
        </w:rPr>
        <w:t>) en RP: Roerfluit 4' (C-e</w:t>
      </w:r>
      <w:r>
        <w:rPr>
          <w:vertAlign w:val="superscript"/>
          <w:lang w:val="nl-NL"/>
        </w:rPr>
        <w:t>2</w:t>
      </w:r>
      <w:r>
        <w:rPr>
          <w:lang w:val="nl-NL"/>
        </w:rPr>
        <w:t>, was oude Roerfluit 8' HW).</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2010-03-16T00:03:00Z</dcterms:created>
  <dc:creator>WS1</dc:creator>
  <dc:description/>
  <dc:language>en-US</dc:language>
  <cp:lastModifiedBy>Hans</cp:lastModifiedBy>
  <dcterms:modified xsi:type="dcterms:W3CDTF">2010-03-16T00:03:00Z</dcterms:modified>
  <cp:revision>2</cp:revision>
  <dc:subject/>
  <dc:title>Utrecht / 1880</dc:title>
</cp:coreProperties>
</file>