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Gouderak / 1899</w:t>
      </w:r>
    </w:p>
    <w:p>
      <w:pPr>
        <w:pStyle w:val="Heading2"/>
        <w:rPr>
          <w:i w:val="false"/>
          <w:i w:val="false"/>
          <w:iCs/>
        </w:rPr>
      </w:pPr>
      <w:r>
        <w:rPr>
          <w:i w:val="false"/>
          <w:iCs/>
        </w:rPr>
        <w:t>Oud-Gereformeerde Gemeente</w:t>
      </w:r>
    </w:p>
    <w:p>
      <w:pPr>
        <w:pStyle w:val="T1"/>
        <w:jc w:val="start"/>
        <w:rPr>
          <w:i/>
          <w:i/>
          <w:iCs/>
        </w:rPr>
      </w:pPr>
      <w:r>
        <w:rPr>
          <w:i/>
          <w:iCs/>
        </w:rPr>
      </w:r>
    </w:p>
    <w:p>
      <w:pPr>
        <w:pStyle w:val="T1"/>
        <w:jc w:val="start"/>
        <w:rPr>
          <w:i/>
          <w:i/>
          <w:iCs/>
          <w:lang w:val="nl-NL"/>
        </w:rPr>
      </w:pPr>
      <w:r>
        <w:rPr>
          <w:i/>
          <w:iCs/>
          <w:lang w:val="nl-NL"/>
        </w:rPr>
        <w:t>Zaalkerk met brede ingangspartij, gebouwd in 1992. Kansel, lezenaar en tekstborden in klassieke stijl door enkele gemeenteleden vervaardigd.</w:t>
      </w:r>
    </w:p>
    <w:p>
      <w:pPr>
        <w:pStyle w:val="T1"/>
        <w:jc w:val="start"/>
        <w:rPr>
          <w:i/>
          <w:i/>
          <w:iCs/>
          <w:lang w:val="nl-NL"/>
        </w:rPr>
      </w:pPr>
      <w:r>
        <w:rPr>
          <w:i/>
          <w:iCs/>
          <w:lang w:val="nl-NL"/>
        </w:rPr>
      </w:r>
    </w:p>
    <w:p>
      <w:pPr>
        <w:pStyle w:val="T1"/>
        <w:jc w:val="start"/>
        <w:rPr>
          <w:lang w:val="nl-NL"/>
        </w:rPr>
      </w:pPr>
      <w:r>
        <w:rPr>
          <w:lang w:val="nl-NL"/>
        </w:rPr>
        <w:t>Kas: 1899/1999</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lang w:val="nl-NL"/>
        </w:rPr>
        <w:t>Een front van het Wouterswoude-type, met E als grootste frontpijp van de Prestant 8</w:t>
      </w:r>
      <w:r>
        <w:rPr>
          <w:rFonts w:cs="Times New Roman" w:ascii="Times New Roman" w:hAnsi="Times New Roman"/>
          <w:lang w:val="nl-NL"/>
        </w:rPr>
        <w:t>'</w:t>
      </w:r>
      <w:r>
        <w:rPr>
          <w:lang w:val="nl-NL"/>
        </w:rPr>
        <w:t>. Het later overgeschilderde en gemoderniseerde kastwerk is in het kader van de jongste restauratie op stijlvolle wijze in de oorspronkelijke staat teruggebracht.</w:t>
      </w:r>
    </w:p>
    <w:p>
      <w:pPr>
        <w:pStyle w:val="T2Kunst"/>
        <w:jc w:val="start"/>
        <w:rPr/>
      </w:pPr>
      <w:r>
        <w:rPr>
          <w:lang w:val="nl-NL"/>
        </w:rPr>
        <w:t xml:space="preserve">Binnen het stijlkader van dit ontwerp en de bouwtijd zijn alle te verwachten elementen aanwezig. Voluten en plantaardige motieven in de blinderingen en bekroningen, een lier op de bekroning van de middentoren, omgekruld blad in de </w:t>
      </w:r>
      <w:r>
        <w:rPr>
          <w:i/>
          <w:iCs/>
          <w:lang w:val="nl-NL"/>
        </w:rPr>
        <w:t>culs-de-lampe</w:t>
      </w:r>
      <w:r>
        <w:rPr>
          <w:lang w:val="nl-NL"/>
        </w:rPr>
        <w:t>. Blinderingen bij de pijpvoeten ontbreken ook hier gewoontegetrouw.</w:t>
      </w:r>
    </w:p>
    <w:p>
      <w:pPr>
        <w:pStyle w:val="T2Kunst"/>
        <w:jc w:val="start"/>
        <w:rPr>
          <w:lang w:val="nl-NL"/>
        </w:rPr>
      </w:pPr>
      <w:r>
        <w:rPr>
          <w:lang w:val="nl-NL"/>
        </w:rPr>
        <w:t>De vleugelstukken lopen van boven naar beneden in de breedte iets uit, maar blijven relatief smal. Ze lijken hierdoor wat op de vleugelstukken van Goënga. Binnen de voluutruimte zijn afhangende takken met vruchten aangebracht.</w:t>
      </w:r>
    </w:p>
    <w:p>
      <w:pPr>
        <w:pStyle w:val="T2Kunst"/>
        <w:jc w:val="start"/>
        <w:rPr>
          <w:lang w:val="nl-NL"/>
        </w:rPr>
      </w:pPr>
      <w:r>
        <w:rPr>
          <w:lang w:val="nl-NL"/>
        </w:rPr>
        <w:t>In de bovenblinderingen van de zijtorens is een voluut toegepast, waarbij een bloem in het midden van de lege ruimte door middel van takjes of blaadjes met de voluutband verbonden is. Dit motief, dat het effect van een wiel met spaken oplevert, komt in deze periode vaker voor bij Bakker &amp; Timmenga-orgels.</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iCs/>
          <w:lang w:val="nl-NL"/>
        </w:rPr>
        <w:t xml:space="preserve">A. Bijvank, ‘Het andere orgel in Gouderak’. </w:t>
      </w:r>
      <w:r>
        <w:rPr>
          <w:i/>
          <w:iCs/>
          <w:lang w:val="nl-NL"/>
        </w:rPr>
        <w:t>Kerk &amp; Muziek</w:t>
      </w:r>
      <w:r>
        <w:rPr>
          <w:lang w:val="nl-NL"/>
        </w:rPr>
        <w:t>, 48/6 (1999), ..</w:t>
      </w:r>
    </w:p>
    <w:p>
      <w:pPr>
        <w:pStyle w:val="T3Lit"/>
        <w:jc w:val="start"/>
        <w:rPr/>
      </w:pPr>
      <w:r>
        <w:rPr>
          <w:iCs/>
          <w:lang w:val="nl-NL"/>
        </w:rPr>
        <w:t xml:space="preserve">Dirk Bakker, </w:t>
      </w:r>
      <w:r>
        <w:rPr>
          <w:i/>
          <w:iCs/>
          <w:lang w:val="nl-NL"/>
        </w:rPr>
        <w:t>Van Reitsum naar Gouderak. Het verhaal van een klein Bakker &amp; Timmenga-orgel.</w:t>
      </w:r>
      <w:r>
        <w:rPr>
          <w:iCs/>
          <w:lang w:val="nl-NL"/>
        </w:rPr>
        <w:t xml:space="preserve"> Z.p., 1999.</w:t>
      </w:r>
    </w:p>
    <w:p>
      <w:pPr>
        <w:pStyle w:val="T3Lit"/>
        <w:jc w:val="start"/>
        <w:rPr/>
      </w:pPr>
      <w:r>
        <w:rPr>
          <w:iCs/>
          <w:lang w:val="nl-NL"/>
        </w:rPr>
        <w:t xml:space="preserve">Jan Jongepier, </w:t>
      </w:r>
      <w:r>
        <w:rPr>
          <w:i/>
          <w:iCs/>
          <w:lang w:val="nl-NL"/>
        </w:rPr>
        <w:t>Vijf eeuwen Friese orgelbouw.</w:t>
      </w:r>
      <w:r>
        <w:rPr>
          <w:iCs/>
          <w:lang w:val="nl-NL"/>
        </w:rPr>
        <w:t xml:space="preserve"> Leeuwarden, 2004, 216.</w:t>
      </w:r>
    </w:p>
    <w:p>
      <w:pPr>
        <w:pStyle w:val="T3Lit"/>
        <w:jc w:val="start"/>
        <w:rPr>
          <w:lang w:val="nl-NL"/>
        </w:rPr>
      </w:pPr>
      <w:r>
        <w:rPr>
          <w:i/>
          <w:iCs/>
          <w:lang w:val="nl-NL"/>
        </w:rPr>
        <w:t>De Orgelkrant</w:t>
      </w:r>
      <w:r>
        <w:rPr>
          <w:iCs/>
          <w:lang w:val="nl-NL"/>
        </w:rPr>
        <w:t>, 5/1 (2000), 5.</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Reitsum, Gereformeerde Kerk</w:t>
      </w:r>
    </w:p>
    <w:p>
      <w:pPr>
        <w:pStyle w:val="T1"/>
        <w:jc w:val="start"/>
        <w:rPr>
          <w:lang w:val="nl-NL"/>
        </w:rPr>
      </w:pPr>
      <w:r>
        <w:rPr>
          <w:lang w:val="nl-NL"/>
        </w:rPr>
      </w:r>
    </w:p>
    <w:p>
      <w:pPr>
        <w:pStyle w:val="T1"/>
        <w:jc w:val="start"/>
        <w:rPr>
          <w:lang w:val="nl-NL"/>
        </w:rPr>
      </w:pPr>
      <w:r>
        <w:rPr>
          <w:lang w:val="nl-NL"/>
        </w:rPr>
        <w:t>A. v.d. Zee 1915</w:t>
      </w:r>
    </w:p>
    <w:p>
      <w:pPr>
        <w:pStyle w:val="T1"/>
        <w:numPr>
          <w:ilvl w:val="0"/>
          <w:numId w:val="5"/>
        </w:numPr>
        <w:jc w:val="start"/>
        <w:rPr>
          <w:lang w:val="nl-NL"/>
        </w:rPr>
      </w:pPr>
      <w:r>
        <w:rPr>
          <w:lang w:val="nl-NL"/>
        </w:rPr>
        <w:t>kas opnieuw geschilderd</w:t>
      </w:r>
    </w:p>
    <w:p>
      <w:pPr>
        <w:pStyle w:val="T1"/>
        <w:jc w:val="start"/>
        <w:rPr>
          <w:lang w:val="nl-NL"/>
        </w:rPr>
      </w:pPr>
      <w:r>
        <w:rPr>
          <w:lang w:val="nl-NL"/>
        </w:rPr>
      </w:r>
    </w:p>
    <w:p>
      <w:pPr>
        <w:pStyle w:val="T1"/>
        <w:jc w:val="start"/>
        <w:rPr>
          <w:lang w:val="nl-NL"/>
        </w:rPr>
      </w:pPr>
      <w:r>
        <w:rPr>
          <w:lang w:val="nl-NL"/>
        </w:rPr>
        <w:t>Bakker &amp; Timmenga 1944</w:t>
      </w:r>
    </w:p>
    <w:p>
      <w:pPr>
        <w:pStyle w:val="T1"/>
        <w:numPr>
          <w:ilvl w:val="0"/>
          <w:numId w:val="5"/>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5"/>
        </w:numPr>
        <w:jc w:val="start"/>
        <w:rPr>
          <w:lang w:val="nl-NL"/>
        </w:rPr>
      </w:pPr>
      <w:r>
        <w:rPr>
          <w:lang w:val="nl-NL"/>
        </w:rPr>
        <w:t>orgel binnen kerkgebouw verplaatst</w:t>
      </w:r>
    </w:p>
    <w:p>
      <w:pPr>
        <w:pStyle w:val="T1"/>
        <w:numPr>
          <w:ilvl w:val="0"/>
          <w:numId w:val="3"/>
        </w:numPr>
        <w:jc w:val="start"/>
        <w:rPr>
          <w:lang w:val="nl-NL"/>
        </w:rPr>
      </w:pPr>
      <w:r>
        <w:rPr>
          <w:lang w:val="nl-NL"/>
        </w:rPr>
        <w:t>voluten ingezaagd</w:t>
      </w:r>
    </w:p>
    <w:p>
      <w:pPr>
        <w:pStyle w:val="T1"/>
        <w:numPr>
          <w:ilvl w:val="0"/>
          <w:numId w:val="3"/>
        </w:numPr>
        <w:jc w:val="start"/>
        <w:rPr>
          <w:lang w:val="nl-NL"/>
        </w:rPr>
      </w:pPr>
      <w:r>
        <w:rPr>
          <w:lang w:val="nl-NL"/>
        </w:rPr>
        <w:t>kas wit geschilderd</w:t>
      </w:r>
    </w:p>
    <w:p>
      <w:pPr>
        <w:pStyle w:val="T1"/>
        <w:jc w:val="start"/>
        <w:rPr>
          <w:lang w:val="nl-NL"/>
        </w:rPr>
      </w:pPr>
      <w:r>
        <w:rPr>
          <w:lang w:val="nl-NL"/>
        </w:rPr>
      </w:r>
    </w:p>
    <w:p>
      <w:pPr>
        <w:pStyle w:val="T1"/>
        <w:jc w:val="start"/>
        <w:rPr>
          <w:lang w:val="nl-NL"/>
        </w:rPr>
      </w:pPr>
      <w:r>
        <w:rPr>
          <w:lang w:val="nl-NL"/>
        </w:rPr>
        <w:t>Orgelmakerij Bakker &amp; Timmenga 1964</w:t>
      </w:r>
    </w:p>
    <w:p>
      <w:pPr>
        <w:pStyle w:val="T1"/>
        <w:numPr>
          <w:ilvl w:val="0"/>
          <w:numId w:val="4"/>
        </w:numPr>
        <w:jc w:val="start"/>
        <w:rPr>
          <w:lang w:val="fr-FR"/>
        </w:rPr>
      </w:pPr>
      <w:r>
        <w:rPr>
          <w:lang w:val="fr-FR"/>
        </w:rPr>
        <w:t>Voix Celeste 8' $ Quintfluit 2 2/3'</w:t>
      </w:r>
    </w:p>
    <w:p>
      <w:pPr>
        <w:pStyle w:val="T1"/>
        <w:jc w:val="start"/>
        <w:rPr>
          <w:lang w:val="fr-FR"/>
        </w:rPr>
      </w:pPr>
      <w:r>
        <w:rPr>
          <w:lang w:val="fr-FR"/>
        </w:rPr>
      </w:r>
    </w:p>
    <w:p>
      <w:pPr>
        <w:pStyle w:val="T1"/>
        <w:jc w:val="start"/>
        <w:rPr>
          <w:lang w:val="nl-NL"/>
        </w:rPr>
      </w:pPr>
      <w:r>
        <w:rPr>
          <w:lang w:val="nl-NL"/>
        </w:rPr>
        <w:t>Orgelmakerij Bakker &amp; Timmenga 1969</w:t>
      </w:r>
    </w:p>
    <w:p>
      <w:pPr>
        <w:pStyle w:val="T1"/>
        <w:numPr>
          <w:ilvl w:val="0"/>
          <w:numId w:val="4"/>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Tj. Heidinga, onbekend moment</w:t>
      </w:r>
    </w:p>
    <w:p>
      <w:pPr>
        <w:pStyle w:val="T1"/>
        <w:numPr>
          <w:ilvl w:val="0"/>
          <w:numId w:val="4"/>
        </w:numPr>
        <w:jc w:val="start"/>
        <w:rPr/>
      </w:pPr>
      <w:r>
        <w:rPr/>
        <w:t>Ped + Bourdon 16'</w:t>
      </w:r>
    </w:p>
    <w:p>
      <w:pPr>
        <w:pStyle w:val="T1"/>
        <w:numPr>
          <w:ilvl w:val="0"/>
          <w:numId w:val="4"/>
        </w:numPr>
        <w:jc w:val="start"/>
        <w:rPr>
          <w:lang w:val="nl-NL"/>
        </w:rPr>
      </w:pPr>
      <w:r>
        <w:rPr>
          <w:lang w:val="nl-NL"/>
        </w:rPr>
        <w:t>dak, achterwand en deel zijwanden kas verwijderd</w:t>
      </w:r>
    </w:p>
    <w:p>
      <w:pPr>
        <w:pStyle w:val="T1"/>
        <w:numPr>
          <w:ilvl w:val="0"/>
          <w:numId w:val="4"/>
        </w:numPr>
        <w:jc w:val="start"/>
        <w:rPr>
          <w:lang w:val="nl-NL"/>
        </w:rPr>
      </w:pPr>
      <w:r>
        <w:rPr>
          <w:lang w:val="nl-NL"/>
        </w:rPr>
        <w:t>schepbalgen verwijderd</w:t>
      </w:r>
    </w:p>
    <w:p>
      <w:pPr>
        <w:pStyle w:val="T1"/>
        <w:numPr>
          <w:ilvl w:val="0"/>
          <w:numId w:val="4"/>
        </w:numPr>
        <w:jc w:val="start"/>
        <w:rPr/>
      </w:pPr>
      <w:r>
        <w:rPr>
          <w:lang w:val="nl-NL"/>
        </w:rPr>
        <w:t>nieuw pedaalklavier met grotere omvang (C-d</w:t>
      </w:r>
      <w:r>
        <w:rPr>
          <w:szCs w:val="24"/>
          <w:vertAlign w:val="superscript"/>
          <w:lang w:val="nl-NL"/>
        </w:rPr>
        <w:t>1</w:t>
      </w:r>
      <w:r>
        <w:rPr>
          <w:lang w:val="nl-NL"/>
        </w:rPr>
        <w:t>) geplaatst</w:t>
      </w:r>
    </w:p>
    <w:p>
      <w:pPr>
        <w:pStyle w:val="T1"/>
        <w:jc w:val="start"/>
        <w:rPr>
          <w:lang w:val="nl-NL"/>
        </w:rPr>
      </w:pPr>
      <w:r>
        <w:rPr>
          <w:lang w:val="nl-NL"/>
        </w:rPr>
      </w:r>
    </w:p>
    <w:p>
      <w:pPr>
        <w:pStyle w:val="T1"/>
        <w:jc w:val="start"/>
        <w:rPr>
          <w:lang w:val="nl-NL"/>
        </w:rPr>
      </w:pPr>
      <w:r>
        <w:rPr>
          <w:lang w:val="nl-NL"/>
        </w:rPr>
        <w:t>1984</w:t>
      </w:r>
    </w:p>
    <w:p>
      <w:pPr>
        <w:pStyle w:val="T1"/>
        <w:numPr>
          <w:ilvl w:val="0"/>
          <w:numId w:val="2"/>
        </w:numPr>
        <w:jc w:val="start"/>
        <w:rPr>
          <w:lang w:val="nl-NL"/>
        </w:rPr>
      </w:pPr>
      <w:r>
        <w:rPr>
          <w:lang w:val="nl-NL"/>
        </w:rPr>
        <w:t>orgel verkocht aan S. Haarsma</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orgel aangekocht door Oud-Gereformeerde Gemeente Gouderak</w:t>
      </w:r>
    </w:p>
    <w:p>
      <w:pPr>
        <w:pStyle w:val="T1"/>
        <w:jc w:val="start"/>
        <w:rPr>
          <w:lang w:val="nl-NL"/>
        </w:rPr>
      </w:pPr>
      <w:r>
        <w:rPr>
          <w:lang w:val="nl-NL"/>
        </w:rPr>
      </w:r>
    </w:p>
    <w:p>
      <w:pPr>
        <w:pStyle w:val="T1"/>
        <w:jc w:val="start"/>
        <w:rPr>
          <w:lang w:val="nl-NL"/>
        </w:rPr>
      </w:pPr>
      <w:r>
        <w:rPr>
          <w:lang w:val="nl-NL"/>
        </w:rPr>
        <w:t>R. Nijsse 1999</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ontbrekende delen orgelkas bijgemaakt; nieuwe liggers voor de windlade</w:t>
      </w:r>
    </w:p>
    <w:p>
      <w:pPr>
        <w:pStyle w:val="T1"/>
        <w:numPr>
          <w:ilvl w:val="0"/>
          <w:numId w:val="2"/>
        </w:numPr>
        <w:jc w:val="start"/>
        <w:rPr>
          <w:lang w:val="nl-NL"/>
        </w:rPr>
      </w:pPr>
      <w:r>
        <w:rPr>
          <w:lang w:val="nl-NL"/>
        </w:rPr>
        <w:t>magazijnbalg opnieuw beleerd en van nieuw bovenblad voorzien</w:t>
      </w:r>
    </w:p>
    <w:p>
      <w:pPr>
        <w:pStyle w:val="T1"/>
        <w:numPr>
          <w:ilvl w:val="0"/>
          <w:numId w:val="2"/>
        </w:numPr>
        <w:jc w:val="start"/>
        <w:rPr>
          <w:lang w:val="nl-NL"/>
        </w:rPr>
      </w:pPr>
      <w:r>
        <w:rPr>
          <w:lang w:val="nl-NL"/>
        </w:rPr>
        <w:t>nieuwe schepbalgen en handpomp; nieuwe windkanalen en ventiel</w:t>
      </w:r>
    </w:p>
    <w:p>
      <w:pPr>
        <w:pStyle w:val="T1"/>
        <w:numPr>
          <w:ilvl w:val="0"/>
          <w:numId w:val="2"/>
        </w:numPr>
        <w:jc w:val="start"/>
        <w:rPr>
          <w:lang w:val="nl-NL"/>
        </w:rPr>
      </w:pPr>
      <w:r>
        <w:rPr>
          <w:lang w:val="nl-NL"/>
        </w:rPr>
        <w:t>nieuwe conducten</w:t>
      </w:r>
    </w:p>
    <w:p>
      <w:pPr>
        <w:pStyle w:val="T1"/>
        <w:numPr>
          <w:ilvl w:val="0"/>
          <w:numId w:val="2"/>
        </w:numPr>
        <w:jc w:val="start"/>
        <w:rPr>
          <w:lang w:val="nl-NL"/>
        </w:rPr>
      </w:pPr>
      <w:r>
        <w:rPr>
          <w:lang w:val="nl-NL"/>
        </w:rPr>
        <w:t>windlade gerestaureerd; nieuwe dammen</w:t>
      </w:r>
    </w:p>
    <w:p>
      <w:pPr>
        <w:pStyle w:val="T1"/>
        <w:numPr>
          <w:ilvl w:val="0"/>
          <w:numId w:val="2"/>
        </w:numPr>
        <w:jc w:val="start"/>
        <w:rPr>
          <w:lang w:val="nl-NL"/>
        </w:rPr>
      </w:pPr>
      <w:r>
        <w:rPr>
          <w:lang w:val="nl-NL"/>
        </w:rPr>
        <w:t>nieuwe abstractuur en registerknoppen; ontbrekende registerplaatjes bijgemaakt</w:t>
      </w:r>
    </w:p>
    <w:p>
      <w:pPr>
        <w:pStyle w:val="T1"/>
        <w:numPr>
          <w:ilvl w:val="0"/>
          <w:numId w:val="2"/>
        </w:numPr>
        <w:jc w:val="start"/>
        <w:rPr>
          <w:lang w:val="nl-NL"/>
        </w:rPr>
      </w:pPr>
      <w:r>
        <w:rPr>
          <w:lang w:val="nl-NL"/>
        </w:rPr>
        <w:t>nieuwe mechaniek en nieuw klavier Ped; handklavier, lessenaar en orgelbank gereconstrueerd</w:t>
      </w:r>
    </w:p>
    <w:p>
      <w:pPr>
        <w:pStyle w:val="T1"/>
        <w:jc w:val="start"/>
        <w:rPr/>
      </w:pPr>
      <w:r>
        <w:rPr>
          <w:lang w:val="nl-NL"/>
        </w:rPr>
        <w:t>.</w:t>
        <w:tab/>
        <w:t>+ Mixtuur 2-4 st. (op vrije sleep); Quintfluit </w:t>
      </w:r>
      <w:r>
        <w:rPr>
          <w:sz w:val="22"/>
          <w:lang w:val="nl-NL"/>
        </w:rPr>
        <w:t>2 2</w:t>
      </w:r>
      <w:r>
        <w:rPr>
          <w:lang w:val="nl-NL"/>
        </w:rPr>
        <w:t>/3' $ Voix Celeste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10" w:type="dxa"/>
        <w:jc w:val="start"/>
        <w:tblInd w:w="-70" w:type="dxa"/>
        <w:tblLayout w:type="fixed"/>
        <w:tblCellMar>
          <w:top w:w="0" w:type="dxa"/>
          <w:start w:w="70" w:type="dxa"/>
          <w:bottom w:w="0" w:type="dxa"/>
          <w:end w:w="70" w:type="dxa"/>
        </w:tblCellMar>
      </w:tblPr>
      <w:tblGrid>
        <w:gridCol w:w="1510"/>
        <w:gridCol w:w="90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Gemshoorn</w:t>
            </w:r>
          </w:p>
          <w:p>
            <w:pPr>
              <w:pStyle w:val="T4dispositie"/>
              <w:rPr>
                <w:lang w:val="nl-NL"/>
              </w:rPr>
            </w:pPr>
            <w:r>
              <w:rPr>
                <w:lang w:val="nl-NL"/>
              </w:rPr>
              <w:t>Mixtuur</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2-4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tbl>
      <w:tblPr>
        <w:tblW w:w="5148" w:type="dxa"/>
        <w:jc w:val="start"/>
        <w:tblInd w:w="-108" w:type="dxa"/>
        <w:tblLayout w:type="fixed"/>
        <w:tblCellMar>
          <w:top w:w="0" w:type="dxa"/>
          <w:start w:w="108" w:type="dxa"/>
          <w:bottom w:w="0" w:type="dxa"/>
          <w:end w:w="108" w:type="dxa"/>
        </w:tblCellMar>
      </w:tblPr>
      <w:tblGrid>
        <w:gridCol w:w="1099"/>
        <w:gridCol w:w="794"/>
        <w:gridCol w:w="794"/>
        <w:gridCol w:w="805"/>
        <w:gridCol w:w="805"/>
        <w:gridCol w:w="851"/>
      </w:tblGrid>
      <w:tr>
        <w:trPr/>
        <w:tc>
          <w:tcPr>
            <w:tcW w:w="1099" w:type="dxa"/>
            <w:tcBorders/>
          </w:tcPr>
          <w:p>
            <w:pPr>
              <w:pStyle w:val="T1"/>
              <w:jc w:val="start"/>
              <w:rPr>
                <w:lang w:val="nl-NL"/>
              </w:rPr>
            </w:pPr>
            <w:r>
              <w:rPr>
                <w:lang w:val="nl-NL"/>
              </w:rPr>
              <w:t>Mixtuur</w:t>
            </w:r>
          </w:p>
        </w:tc>
        <w:tc>
          <w:tcPr>
            <w:tcW w:w="794"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94"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805"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805" w:type="dxa"/>
            <w:tcBorders/>
          </w:tcPr>
          <w:p>
            <w:pPr>
              <w:pStyle w:val="T4dispositie"/>
              <w:rPr/>
            </w:pPr>
            <w:r>
              <w:rPr>
                <w:lang w:val="nl-NL"/>
              </w:rPr>
              <w:t>g</w:t>
            </w:r>
            <w:r>
              <w:rPr>
                <w:szCs w:val="24"/>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851" w:type="dxa"/>
            <w:tcBorders/>
          </w:tcPr>
          <w:p>
            <w:pPr>
              <w:pStyle w:val="T4dispositie"/>
              <w:rPr/>
            </w:pPr>
            <w:r>
              <w:rPr>
                <w:lang w:val="nl-NL"/>
              </w:rPr>
              <w:t>g</w:t>
            </w:r>
            <w:r>
              <w:rPr>
                <w:szCs w:val="24"/>
                <w:vertAlign w:val="superscript"/>
                <w:lang w:val="nl-NL"/>
              </w:rPr>
              <w:t>2</w:t>
            </w:r>
          </w:p>
          <w:p>
            <w:pPr>
              <w:pStyle w:val="T4dispositie"/>
              <w:rPr>
                <w:lang w:val="nl-NL"/>
              </w:rPr>
            </w:pPr>
            <w:r>
              <w:rPr>
                <w:lang w:val="nl-NL"/>
              </w:rPr>
              <w:t>5 1 /3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vertAlign w:val="superscript"/>
        </w:rPr>
      </w:pPr>
      <w:r>
        <w:rPr>
          <w:rFonts w:cs="Times New Roman" w:ascii="Times New Roman" w:hAnsi="Times New Roman"/>
          <w:szCs w:val="24"/>
        </w:rPr>
        <w:t>C-g</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(1899) met twee schepbalgen</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75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indeling van de lade is als volgt: f cis A G H dis g f</w:t>
      </w:r>
      <w:r>
        <w:rPr>
          <w:szCs w:val="24"/>
          <w:vertAlign w:val="superscript"/>
          <w:lang w:val="nl-NL"/>
        </w:rPr>
        <w:t>3</w:t>
      </w:r>
      <w:r>
        <w:rPr>
          <w:lang w:val="nl-NL"/>
        </w:rPr>
        <w:t xml:space="preserve"> (hele tonen) a F Dis Cis C D E Fis b (hele tonen) e</w:t>
      </w:r>
      <w:r>
        <w:rPr>
          <w:szCs w:val="24"/>
          <w:vertAlign w:val="superscript"/>
          <w:lang w:val="nl-NL"/>
        </w:rPr>
        <w:t>3</w:t>
      </w:r>
      <w:r>
        <w:rPr>
          <w:lang w:val="nl-NL"/>
        </w:rPr>
        <w:t xml:space="preserve"> gis e c Gis B d fis.</w:t>
      </w:r>
    </w:p>
    <w:p>
      <w:pPr>
        <w:pStyle w:val="T1"/>
        <w:jc w:val="start"/>
        <w:rPr/>
      </w:pPr>
      <w:r>
        <w:rPr>
          <w:lang w:val="nl-NL"/>
        </w:rPr>
        <w:t>C-Dis van de Prestant 8' zijn open houten binnenpijpen (grenen); E-e</w:t>
      </w:r>
      <w:r>
        <w:rPr>
          <w:szCs w:val="24"/>
          <w:vertAlign w:val="superscript"/>
          <w:lang w:val="nl-NL"/>
        </w:rPr>
        <w:t>1</w:t>
      </w:r>
      <w:r>
        <w:rPr>
          <w:lang w:val="nl-NL"/>
        </w:rPr>
        <w:t xml:space="preserve"> staan in het front, het vervolg staat op de lade. Expressions tot en met h</w:t>
      </w:r>
      <w:r>
        <w:rPr>
          <w:szCs w:val="24"/>
          <w:vertAlign w:val="superscript"/>
          <w:lang w:val="nl-NL"/>
        </w:rPr>
        <w:t>2</w:t>
      </w:r>
      <w:r>
        <w:rPr>
          <w:lang w:val="nl-NL"/>
        </w:rPr>
        <w:t xml:space="preserve">. C-H van de Bourdon 8' zijn van grenen met licht gebogen opsneden. Het vervolg is van metaal. Op c staat de inscriptie </w:t>
      </w:r>
      <w:r>
        <w:rPr>
          <w:i/>
          <w:lang w:val="nl-NL"/>
        </w:rPr>
        <w:t>Holpijp</w:t>
      </w:r>
      <w:r>
        <w:rPr>
          <w:lang w:val="nl-NL"/>
        </w:rPr>
        <w:t>. De Viola di Gamba 8' is van C-H gecombineerd met de Bourdon 8', het vervolg is van metaal en tot en met h</w:t>
      </w:r>
      <w:r>
        <w:rPr>
          <w:szCs w:val="24"/>
          <w:vertAlign w:val="superscript"/>
          <w:lang w:val="nl-NL"/>
        </w:rPr>
        <w:t>1</w:t>
      </w:r>
      <w:r>
        <w:rPr>
          <w:lang w:val="nl-NL"/>
        </w:rPr>
        <w:t xml:space="preserve"> voorzien van zijbaarden. Expressions tot en met f</w:t>
      </w:r>
      <w:r>
        <w:rPr>
          <w:szCs w:val="24"/>
          <w:vertAlign w:val="superscript"/>
          <w:lang w:val="nl-NL"/>
        </w:rPr>
        <w:t>2</w:t>
      </w:r>
      <w:r>
        <w:rPr>
          <w:lang w:val="nl-NL"/>
        </w:rPr>
        <w:t>. De Voix Celeste 8' is van C-H gecombineerd met de Prestant 8'; c-dis zijn nieuw, het vervolg is oud en in 1999 verlengd; c-h met zijbaarden, c-h</w:t>
      </w:r>
      <w:r>
        <w:rPr>
          <w:szCs w:val="24"/>
          <w:vertAlign w:val="superscript"/>
          <w:lang w:val="nl-NL"/>
        </w:rPr>
        <w:t>2</w:t>
      </w:r>
      <w:r>
        <w:rPr>
          <w:lang w:val="nl-NL"/>
        </w:rPr>
        <w:t xml:space="preserve"> met expressions. C en Cis van de Octaaf 4' staan in het front, het vervolg staat op de lade. Expressions tot en met h</w:t>
      </w:r>
      <w:r>
        <w:rPr>
          <w:szCs w:val="24"/>
          <w:vertAlign w:val="superscript"/>
          <w:lang w:val="nl-NL"/>
        </w:rPr>
        <w:t>1</w:t>
      </w:r>
      <w:r>
        <w:rPr>
          <w:lang w:val="nl-NL"/>
        </w:rPr>
        <w:t>. De Fluit 4' is van C-f</w:t>
      </w:r>
      <w:r>
        <w:rPr>
          <w:szCs w:val="24"/>
          <w:vertAlign w:val="superscript"/>
          <w:lang w:val="nl-NL"/>
        </w:rPr>
        <w:t>2</w:t>
      </w:r>
      <w:r>
        <w:rPr>
          <w:lang w:val="nl-NL"/>
        </w:rPr>
        <w:t xml:space="preserve"> gedekt, het vervolg is open, conisch. De Gemshoorn 2' is conisch. C-H met zijbaarden, C-fis met expressions. De nieuwe Mixtuur is gemaakt naar voorbeeld van het orgel in Veenwouden en deels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lang w:val="nl-NL"/>
      </w:rPr>
    </w:lvl>
  </w:abstractNum>
  <w:abstractNum w:abstractNumId="5">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lang w:val="nl-N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b w:val="false"/>
      <w:i w:val="false"/>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2010-03-15T23:24:00Z</dcterms:created>
  <dc:creator>WS1</dc:creator>
  <dc:description/>
  <dc:language>en-US</dc:language>
  <cp:lastModifiedBy>Hans</cp:lastModifiedBy>
  <dcterms:modified xsi:type="dcterms:W3CDTF">2010-03-15T23:24:00Z</dcterms:modified>
  <cp:revision>2</cp:revision>
  <dc:subject/>
  <dc:title>Olst / 1880</dc:title>
</cp:coreProperties>
</file>