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Oud-Loosdrecht / 1900</w:t>
      </w:r>
    </w:p>
    <w:p>
      <w:pPr>
        <w:pStyle w:val="Heading2"/>
        <w:rPr>
          <w:i w:val="false"/>
          <w:i w:val="false"/>
          <w:iCs/>
        </w:rPr>
      </w:pPr>
      <w:r>
        <w:rPr>
          <w:i w:val="false"/>
          <w:iCs/>
        </w:rPr>
        <w:t>Nederlandse Gereformeerde Kerk</w:t>
      </w:r>
    </w:p>
    <w:p>
      <w:pPr>
        <w:pStyle w:val="T1"/>
        <w:rPr>
          <w:i/>
          <w:i/>
          <w:iCs/>
        </w:rPr>
      </w:pPr>
      <w:r>
        <w:rPr>
          <w:i/>
          <w:iCs/>
        </w:rPr>
      </w:r>
    </w:p>
    <w:p>
      <w:pPr>
        <w:pStyle w:val="T1"/>
        <w:jc w:val="start"/>
        <w:rPr>
          <w:i/>
          <w:i/>
          <w:iCs/>
        </w:rPr>
      </w:pPr>
      <w:r>
        <w:rPr>
          <w:i/>
          <w:iCs/>
        </w:rPr>
        <w:t>Eenvoudig zaalkerkje, in gebruik genomen in 1836 en eind jaren 1860 verbouwd en uitgebreid. Interieur in de loop van de tijd gemoderniseerd. De voorgevel heeft rondboogvensters en de toegangsdeur wordt omgeven door eenvoudige pilasters met fronton.</w:t>
      </w:r>
    </w:p>
    <w:p>
      <w:pPr>
        <w:pStyle w:val="T1"/>
        <w:rPr>
          <w:i/>
          <w:i/>
          <w:iCs/>
        </w:rPr>
      </w:pPr>
      <w:r>
        <w:rPr>
          <w:i/>
          <w:iCs/>
        </w:rPr>
      </w:r>
    </w:p>
    <w:p>
      <w:pPr>
        <w:pStyle w:val="T1"/>
        <w:jc w:val="start"/>
        <w:rPr>
          <w:lang w:val="nl-NL"/>
        </w:rPr>
      </w:pPr>
      <w:r>
        <w:rPr>
          <w:lang w:val="nl-NL"/>
        </w:rPr>
        <w:t>Kas: 1900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Een variant van het vijfdelige ‘catalogusfront’ met ongedeelde tussenvelden, vergelijkbaar met het front te Hengelo (Gld, 1895). De blinderingen zijn uiterst sober gehouden; ze bestaan aan onder- en bovenzijde van torens en tussenvelden uit gebogen gezaagde schotten. </w:t>
      </w:r>
      <w:r>
        <w:rPr/>
        <w:t xml:space="preserve">Voor de verhoogde frontstokken van de tussenvelden zijn panelen met diamantkoppen aangebracht. </w:t>
      </w:r>
      <w:r>
        <w:rPr>
          <w:lang w:val="nl-NL"/>
        </w:rPr>
        <w:t xml:space="preserve">Boven de tussenvelden een horizontale lijst, waarop gegolfd gezaagde schotten de overgang naar de middentoren markeren. </w:t>
      </w:r>
      <w:r>
        <w:rPr/>
        <w:t>De gesloten vleugelstukken bestaan hoofdzakelijk uit een grote flauw gebogen S-voluut, aan de bovenzijde met een lint in drie parallel lopende slagen opgebonden. De consoles onder de torens zijn, zoals gebruikelijk, klokvormig en ongedecoreerd, behoudens de tolvormige knop aan de onderzijde. Ook de torenbekroningen behoren tot de standaarduitrusting van het catalogusfront: koepels, bekroond door een bol en geflankeerd door twee kleine, op sokkels geplaatste obelisken.</w:t>
      </w:r>
    </w:p>
    <w:p>
      <w:pPr>
        <w:pStyle w:val="Normal"/>
        <w:rPr/>
      </w:pPr>
      <w:r>
        <w:rPr/>
      </w:r>
    </w:p>
    <w:p>
      <w:pPr>
        <w:pStyle w:val="T3Lit"/>
        <w:rPr>
          <w:b/>
          <w:b/>
          <w:bCs/>
          <w:lang w:val="nl-NL"/>
        </w:rPr>
      </w:pPr>
      <w:r>
        <w:rPr>
          <w:b/>
          <w:bCs/>
          <w:lang w:val="nl-NL"/>
        </w:rPr>
        <w:t>Literatuur</w:t>
      </w:r>
    </w:p>
    <w:p>
      <w:pPr>
        <w:pStyle w:val="T3Lit"/>
        <w:jc w:val="start"/>
        <w:rPr/>
      </w:pPr>
      <w:r>
        <w:rPr>
          <w:bCs/>
          <w:lang w:val="nl-NL"/>
        </w:rPr>
        <w:t xml:space="preserve">R. Walsma, </w:t>
      </w:r>
      <w:r>
        <w:rPr>
          <w:bCs/>
          <w:i/>
          <w:iCs/>
          <w:lang w:val="nl-NL"/>
        </w:rPr>
        <w:t>Herziene en uitgebreide werklijst Properorgels</w:t>
      </w:r>
      <w:r>
        <w:rPr>
          <w:bCs/>
          <w:lang w:val="nl-NL"/>
        </w:rPr>
        <w:t>. Leeuwarden, 2005, 16.</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xml:space="preserve">. </w:t>
      </w:r>
      <w:r>
        <w:rPr>
          <w:bCs/>
        </w:rPr>
        <w:t>Leeuwarden, 2005.</w:t>
      </w:r>
    </w:p>
    <w:p>
      <w:pPr>
        <w:pStyle w:val="T3Li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bestaand register vervangen door Quint 1 1/3</w:t>
      </w:r>
      <w:r>
        <w:rPr>
          <w:iCs/>
          <w:lang w:val="nl-NL"/>
        </w:rPr>
        <w:t>'</w:t>
      </w:r>
    </w:p>
    <w:p>
      <w:pPr>
        <w:pStyle w:val="T1"/>
        <w:jc w:val="start"/>
        <w:rPr>
          <w:lang w:val="nl-NL"/>
        </w:rPr>
      </w:pPr>
      <w:r>
        <w:rPr>
          <w:lang w:val="nl-NL"/>
        </w:rPr>
      </w:r>
    </w:p>
    <w:p>
      <w:pPr>
        <w:pStyle w:val="T1"/>
        <w:jc w:val="start"/>
        <w:rPr>
          <w:lang w:val="nl-NL"/>
        </w:rPr>
      </w:pPr>
      <w:r>
        <w:rPr>
          <w:lang w:val="nl-NL"/>
        </w:rPr>
        <w:t>S. de Wit 1975</w:t>
      </w:r>
    </w:p>
    <w:p>
      <w:pPr>
        <w:pStyle w:val="T1"/>
        <w:numPr>
          <w:ilvl w:val="0"/>
          <w:numId w:val="3"/>
        </w:numPr>
        <w:jc w:val="start"/>
        <w:rPr>
          <w:lang w:val="nl-NL"/>
        </w:rPr>
      </w:pPr>
      <w:r>
        <w:rPr>
          <w:lang w:val="nl-NL"/>
        </w:rPr>
        <w:t>tremulant toegevoegd</w:t>
      </w:r>
    </w:p>
    <w:p>
      <w:pPr>
        <w:pStyle w:val="T1"/>
        <w:numPr>
          <w:ilvl w:val="0"/>
          <w:numId w:val="3"/>
        </w:numPr>
        <w:jc w:val="start"/>
        <w:rPr>
          <w:lang w:val="nl-NL"/>
        </w:rPr>
      </w:pPr>
      <w:r>
        <w:rPr>
          <w:lang w:val="nl-NL"/>
        </w:rPr>
        <w:t>Openfluit 4</w:t>
      </w:r>
      <w:r>
        <w:rPr>
          <w:iCs/>
          <w:lang w:val="nl-NL"/>
        </w:rPr>
        <w:t>'</w:t>
      </w:r>
      <w:r>
        <w:rPr>
          <w:lang w:val="nl-NL"/>
        </w:rPr>
        <w:t> $ Roerfluit 4</w:t>
      </w:r>
      <w:r>
        <w:rPr>
          <w:iCs/>
          <w:lang w:val="nl-NL"/>
        </w:rPr>
        <w:t>'</w:t>
      </w:r>
    </w:p>
    <w:p>
      <w:pPr>
        <w:pStyle w:val="T1"/>
        <w:jc w:val="start"/>
        <w:rPr>
          <w:lang w:val="nl-NL"/>
        </w:rPr>
      </w:pPr>
      <w:r>
        <w:rPr>
          <w:lang w:val="nl-NL"/>
        </w:rPr>
      </w:r>
    </w:p>
    <w:p>
      <w:pPr>
        <w:pStyle w:val="T1"/>
        <w:jc w:val="start"/>
        <w:rPr>
          <w:lang w:val="nl-NL"/>
        </w:rPr>
      </w:pPr>
      <w:r>
        <w:rPr>
          <w:lang w:val="nl-NL"/>
        </w:rPr>
        <w:t>S. de Wit 1997</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nieuwe mechanieken</w:t>
      </w:r>
    </w:p>
    <w:p>
      <w:pPr>
        <w:pStyle w:val="T1"/>
        <w:numPr>
          <w:ilvl w:val="0"/>
          <w:numId w:val="2"/>
        </w:numPr>
        <w:jc w:val="start"/>
        <w:rPr>
          <w:lang w:val="fr-FR"/>
        </w:rPr>
      </w:pPr>
      <w:r>
        <w:rPr>
          <w:lang w:val="fr-FR"/>
        </w:rPr>
        <w:t>Quint 1 1/3' $ 2 2/3'</w:t>
      </w:r>
    </w:p>
    <w:p>
      <w:pPr>
        <w:pStyle w:val="T1"/>
        <w:jc w:val="start"/>
        <w:rPr>
          <w:lang w:val="fr-FR"/>
        </w:rPr>
      </w:pPr>
      <w:r>
        <w:rPr>
          <w:lang w:val="fr-F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en-GB"/>
              </w:rPr>
            </w:pPr>
            <w:r>
              <w:rPr>
                <w:lang w:val="en-GB"/>
              </w:rPr>
              <w:t>Prestant</w:t>
            </w:r>
          </w:p>
          <w:p>
            <w:pPr>
              <w:pStyle w:val="T4dispositie"/>
              <w:rPr>
                <w:lang w:val="en-GB"/>
              </w:rPr>
            </w:pPr>
            <w:r>
              <w:rPr>
                <w:lang w:val="en-GB"/>
              </w:rPr>
              <w:t>Gamba D</w:t>
            </w:r>
          </w:p>
          <w:p>
            <w:pPr>
              <w:pStyle w:val="T4dispositie"/>
              <w:rPr>
                <w:lang w:val="en-GB"/>
              </w:rPr>
            </w:pPr>
            <w:r>
              <w:rPr>
                <w:lang w:val="en-GB"/>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 tremulant)</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433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rPr>
      </w:pPr>
      <w:r>
        <w:rPr>
          <w:rFonts w:cs="Times New Roman" w:ascii="Times New Roman" w:hAnsi="Times New Roman"/>
          <w:szCs w:val="24"/>
        </w:rPr>
        <w:t>C-g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(1902)</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71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rFonts w:ascii="Times New Roman" w:hAnsi="Times New Roman" w:cs="Times New Roman"/>
          <w:iCs/>
        </w:rPr>
      </w:pPr>
      <w:r>
        <w:rPr>
          <w:rFonts w:cs="Times New Roman" w:ascii="Times New Roman" w:hAnsi="Times New Roman"/>
          <w:iCs/>
        </w:rPr>
        <w:t>De kas is van grenen.</w:t>
      </w:r>
    </w:p>
    <w:p>
      <w:pPr>
        <w:pStyle w:val="Normal"/>
        <w:rPr/>
      </w:pPr>
      <w:r>
        <w:rPr>
          <w:rFonts w:cs="Times New Roman" w:ascii="Times New Roman" w:hAnsi="Times New Roman"/>
          <w:iCs/>
        </w:rPr>
        <w:t>De magazijnbalg met schepbalgen ligt, voorzien van loden gewichten, onder in de kas. De schepbalgen zijn niet meer in functie. Er is een w</w:t>
      </w:r>
      <w:r>
        <w:rPr>
          <w:rFonts w:cs="Times New Roman" w:ascii="Times New Roman" w:hAnsi="Times New Roman"/>
          <w:iCs/>
          <w:szCs w:val="24"/>
        </w:rPr>
        <w:t>indmeter aanwezig aan de linker zijkant van de kas.</w:t>
      </w:r>
      <w:r>
        <w:rPr>
          <w:rFonts w:cs="Times New Roman" w:ascii="Times New Roman" w:hAnsi="Times New Roman"/>
          <w:iCs/>
        </w:rPr>
        <w:t xml:space="preserve"> De pneumatische tremulant wordt in- en uitgeschakeld met de registerknop Ventiel.</w:t>
      </w:r>
    </w:p>
    <w:p>
      <w:pPr>
        <w:pStyle w:val="Normal"/>
        <w:rPr>
          <w:rFonts w:ascii="Times New Roman" w:hAnsi="Times New Roman" w:cs="Times New Roman"/>
          <w:iCs/>
        </w:rPr>
      </w:pPr>
      <w:r>
        <w:rPr>
          <w:rFonts w:cs="Times New Roman" w:ascii="Times New Roman" w:hAnsi="Times New Roman"/>
          <w:iCs/>
        </w:rPr>
        <w:t>Het handklavier is uitgevoerd als staartklavier. De ondertoetsen hebben kunststof beleg, de boventoetsen zijn van ebben. De ebben registerknoppen bevinden zich direct boven het manuaal en zijn voorzien van inliggende porseleinen naamplaatjes met daarop de registernamen in zwarte letters. Het plaatje van de Quint 2 2/3' is nieuw, het oude naamplaatje van de Quint 1 1/3' ligt in het orgel opgeslagen. Het pedaalklavier is origineel.</w:t>
      </w:r>
    </w:p>
    <w:p>
      <w:pPr>
        <w:pStyle w:val="Normal"/>
        <w:rPr>
          <w:rFonts w:ascii="Times New Roman" w:hAnsi="Times New Roman" w:cs="Times New Roman"/>
          <w:iCs/>
        </w:rPr>
      </w:pPr>
      <w:r>
        <w:rPr>
          <w:rFonts w:cs="Times New Roman" w:ascii="Times New Roman" w:hAnsi="Times New Roman"/>
          <w:iCs/>
        </w:rPr>
        <w:t>De toetstractuur is als volgt: toets, steker, winkelhaak, abstract, wel, aanhangdraad, ventiel. Het wellenbord bevindt zich onder de windlade. De registertractuur is mechanisch.</w:t>
      </w:r>
    </w:p>
    <w:p>
      <w:pPr>
        <w:pStyle w:val="Normal"/>
        <w:rPr>
          <w:rFonts w:ascii="Times New Roman" w:hAnsi="Times New Roman" w:cs="Times New Roman"/>
          <w:iCs/>
        </w:rPr>
      </w:pPr>
      <w:r>
        <w:rPr>
          <w:rFonts w:cs="Times New Roman" w:ascii="Times New Roman" w:hAnsi="Times New Roman"/>
          <w:iCs/>
        </w:rPr>
        <w:t>Het orgel heeft één sleeplade. De cancelvolgorde is chromatisch met de grootste pijpen aan de linkerzijde.</w:t>
      </w:r>
    </w:p>
    <w:p>
      <w:pPr>
        <w:pStyle w:val="T1"/>
        <w:jc w:val="start"/>
        <w:rPr/>
      </w:pPr>
      <w:r>
        <w:rPr>
          <w:lang w:val="nl-NL"/>
        </w:rPr>
        <w:t>De Prestant 8</w:t>
      </w:r>
      <w:r>
        <w:rPr>
          <w:iCs/>
          <w:lang w:val="nl-NL"/>
        </w:rPr>
        <w:t>'</w:t>
      </w:r>
      <w:r>
        <w:rPr>
          <w:lang w:val="nl-NL"/>
        </w:rPr>
        <w:t xml:space="preserve"> is van C-Fis gecombineerd met Holpijp 8</w:t>
      </w:r>
      <w:r>
        <w:rPr>
          <w:iCs/>
          <w:lang w:val="nl-NL"/>
        </w:rPr>
        <w:t>'</w:t>
      </w:r>
      <w:r>
        <w:rPr>
          <w:lang w:val="nl-NL"/>
        </w:rPr>
        <w:t>; G-f</w:t>
      </w:r>
      <w:r>
        <w:rPr>
          <w:vertAlign w:val="superscript"/>
          <w:lang w:val="nl-NL"/>
        </w:rPr>
        <w:t>1</w:t>
      </w:r>
      <w:r>
        <w:rPr>
          <w:lang w:val="nl-NL"/>
        </w:rPr>
        <w:t xml:space="preserve"> staan in het front, het vervolg staat op de lade en is voorzien van expressions. </w:t>
      </w:r>
      <w:r>
        <w:rPr/>
        <w:t xml:space="preserve">Alle 23 frontpijpen zijn sprekend. </w:t>
      </w:r>
      <w:r>
        <w:rPr>
          <w:lang w:val="nl-NL"/>
        </w:rPr>
        <w:t>C-H van de Holpijp 8</w:t>
      </w:r>
      <w:r>
        <w:rPr>
          <w:iCs/>
          <w:lang w:val="nl-NL"/>
        </w:rPr>
        <w:t>'</w:t>
      </w:r>
      <w:r>
        <w:rPr>
          <w:lang w:val="nl-NL"/>
        </w:rPr>
        <w:t xml:space="preserve"> zijn van hout, gedekt, afgevoerd langs de linkerzijde van de kas. </w:t>
      </w:r>
      <w:r>
        <w:rPr/>
        <w:t xml:space="preserve">De overige pijpen staan op de lade (metaal, gedekt). </w:t>
      </w:r>
      <w:r>
        <w:rPr>
          <w:lang w:val="nl-NL"/>
        </w:rPr>
        <w:t>De Octaaf 4</w:t>
      </w:r>
      <w:r>
        <w:rPr>
          <w:iCs/>
          <w:lang w:val="nl-NL"/>
        </w:rPr>
        <w:t>'</w:t>
      </w:r>
      <w:r>
        <w:rPr>
          <w:lang w:val="nl-NL"/>
        </w:rPr>
        <w:t xml:space="preserve"> is van C-f</w:t>
      </w:r>
      <w:r>
        <w:rPr>
          <w:vertAlign w:val="superscript"/>
          <w:lang w:val="nl-NL"/>
        </w:rPr>
        <w:t>2</w:t>
      </w:r>
      <w:r>
        <w:rPr>
          <w:lang w:val="nl-NL"/>
        </w:rPr>
        <w:t xml:space="preserve"> voorzien van expressions, fis</w:t>
      </w:r>
      <w:r>
        <w:rPr>
          <w:vertAlign w:val="superscript"/>
          <w:lang w:val="nl-NL"/>
        </w:rPr>
        <w:t>2</w:t>
      </w:r>
      <w:r>
        <w:rPr>
          <w:lang w:val="nl-NL"/>
        </w:rPr>
        <w:t>-h</w:t>
      </w:r>
      <w:r>
        <w:rPr>
          <w:vertAlign w:val="superscript"/>
          <w:lang w:val="nl-NL"/>
        </w:rPr>
        <w:t>2</w:t>
      </w:r>
      <w:r>
        <w:rPr>
          <w:lang w:val="nl-NL"/>
        </w:rPr>
        <w:t xml:space="preserve"> met stemkrullen en verder op lengte afgesneden. De Gamba 8</w:t>
      </w:r>
      <w:r>
        <w:rPr>
          <w:iCs/>
          <w:lang w:val="nl-NL"/>
        </w:rPr>
        <w:t>'</w:t>
      </w:r>
      <w:r>
        <w:rPr>
          <w:lang w:val="nl-NL"/>
        </w:rPr>
        <w:t xml:space="preserve"> begint op c</w:t>
      </w:r>
      <w:r>
        <w:rPr>
          <w:vertAlign w:val="superscript"/>
          <w:lang w:val="nl-NL"/>
        </w:rPr>
        <w:t>1</w:t>
      </w:r>
      <w:r>
        <w:rPr>
          <w:lang w:val="nl-NL"/>
        </w:rPr>
        <w:t xml:space="preserve"> en is geheel voorzien van expressions. Snijbaarden zijn aanwezig van c</w:t>
      </w:r>
      <w:r>
        <w:rPr>
          <w:vertAlign w:val="superscript"/>
          <w:lang w:val="nl-NL"/>
        </w:rPr>
        <w:t>1</w:t>
      </w:r>
      <w:r>
        <w:rPr>
          <w:lang w:val="nl-NL"/>
        </w:rPr>
        <w:t>-a</w:t>
      </w:r>
      <w:r>
        <w:rPr>
          <w:vertAlign w:val="superscript"/>
          <w:lang w:val="nl-NL"/>
        </w:rPr>
        <w:t>2</w:t>
      </w:r>
      <w:r>
        <w:rPr>
          <w:lang w:val="nl-NL"/>
        </w:rPr>
        <w:t>; de overige pijpen hebben zijbaarden. De Fluit 4</w:t>
      </w:r>
      <w:r>
        <w:rPr>
          <w:iCs/>
          <w:lang w:val="nl-NL"/>
        </w:rPr>
        <w:t>'</w:t>
      </w:r>
      <w:r>
        <w:rPr>
          <w:lang w:val="nl-NL"/>
        </w:rPr>
        <w:t xml:space="preserve"> is geheel van metaal; C-f</w:t>
      </w:r>
      <w:r>
        <w:rPr>
          <w:vertAlign w:val="superscript"/>
          <w:lang w:val="nl-NL"/>
        </w:rPr>
        <w:t>2</w:t>
      </w:r>
      <w:r>
        <w:rPr>
          <w:lang w:val="nl-NL"/>
        </w:rPr>
        <w:t xml:space="preserve"> en g</w:t>
      </w:r>
      <w:r>
        <w:rPr>
          <w:vertAlign w:val="superscript"/>
          <w:lang w:val="nl-NL"/>
        </w:rPr>
        <w:t>2</w:t>
      </w:r>
      <w:r>
        <w:rPr>
          <w:lang w:val="nl-NL"/>
        </w:rPr>
        <w:t xml:space="preserve"> roergedekt, de overige pijpen open. </w:t>
      </w:r>
      <w:r>
        <w:rPr/>
        <w:t>Daarvan hebben fis</w:t>
      </w:r>
      <w:r>
        <w:rPr>
          <w:vertAlign w:val="superscript"/>
        </w:rPr>
        <w:t>2</w:t>
      </w:r>
      <w:r>
        <w:rPr/>
        <w:t>, gis</w:t>
      </w:r>
      <w:r>
        <w:rPr>
          <w:vertAlign w:val="superscript"/>
        </w:rPr>
        <w:t>2</w:t>
      </w:r>
      <w:r>
        <w:rPr/>
        <w:t xml:space="preserve"> en a</w:t>
      </w:r>
      <w:r>
        <w:rPr>
          <w:vertAlign w:val="superscript"/>
        </w:rPr>
        <w:t>2</w:t>
      </w:r>
      <w:r>
        <w:rPr/>
        <w:t xml:space="preserve"> expressions en b</w:t>
      </w:r>
      <w:r>
        <w:rPr>
          <w:vertAlign w:val="superscript"/>
        </w:rPr>
        <w:t>2</w:t>
      </w:r>
      <w:r>
        <w:rPr/>
        <w:t>-h</w:t>
      </w:r>
      <w:r>
        <w:rPr>
          <w:vertAlign w:val="superscript"/>
        </w:rPr>
        <w:t>2</w:t>
      </w:r>
      <w:r>
        <w:rPr/>
        <w:t xml:space="preserve"> stemkrullen. </w:t>
      </w:r>
      <w:r>
        <w:rPr>
          <w:lang w:val="nl-NL"/>
        </w:rPr>
        <w:t>Bij de Octaaf 2</w:t>
      </w:r>
      <w:r>
        <w:rPr>
          <w:iCs/>
          <w:lang w:val="nl-NL"/>
        </w:rPr>
        <w:t>'</w:t>
      </w:r>
      <w:r>
        <w:rPr>
          <w:lang w:val="nl-NL"/>
        </w:rPr>
        <w:t xml:space="preserve"> zijn expressions aanwezig van C-a</w:t>
      </w:r>
      <w:r>
        <w:rPr>
          <w:vertAlign w:val="superscript"/>
          <w:lang w:val="nl-NL"/>
        </w:rPr>
        <w:t>1</w:t>
      </w:r>
      <w:r>
        <w:rPr>
          <w:lang w:val="nl-NL"/>
        </w:rPr>
        <w:t xml:space="preserve"> en stemkrullen van b</w:t>
      </w:r>
      <w:r>
        <w:rPr>
          <w:vertAlign w:val="superscript"/>
          <w:lang w:val="nl-NL"/>
        </w:rPr>
        <w:t>1</w:t>
      </w:r>
      <w:r>
        <w:rPr>
          <w:lang w:val="nl-NL"/>
        </w:rPr>
        <w:t>-dis</w:t>
      </w:r>
      <w:r>
        <w:rPr>
          <w:vertAlign w:val="superscript"/>
          <w:lang w:val="nl-NL"/>
        </w:rPr>
        <w:t>2</w:t>
      </w:r>
      <w:r>
        <w:rPr>
          <w:lang w:val="nl-NL"/>
        </w:rPr>
        <w:t>. Bij de Quint 2 2/3</w:t>
      </w:r>
      <w:r>
        <w:rPr>
          <w:iCs/>
          <w:lang w:val="nl-NL"/>
        </w:rPr>
        <w:t>'</w:t>
      </w:r>
      <w:r>
        <w:rPr>
          <w:lang w:val="nl-NL"/>
        </w:rPr>
        <w:t xml:space="preserve"> zijn stemkrullen aanwezig van C-e</w:t>
      </w:r>
      <w:r>
        <w:rPr>
          <w:vertAlign w:val="superscript"/>
          <w:lang w:val="nl-NL"/>
        </w:rPr>
        <w:t>1</w:t>
      </w:r>
      <w:r>
        <w:rPr>
          <w:lang w:val="nl-NL"/>
        </w:rPr>
        <w:t>, het overige pijpwerk is op lengte afgesneden. Het metalen binnenpijpwerk is grotendeels voorzien van geperste labia.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2010-03-16T11:32:00Z</dcterms:created>
  <dc:creator>WS1</dc:creator>
  <dc:description/>
  <dc:language>en-US</dc:language>
  <cp:lastModifiedBy>Hans Steketee</cp:lastModifiedBy>
  <dcterms:modified xsi:type="dcterms:W3CDTF">2010-03-16T11:32:00Z</dcterms:modified>
  <cp:revision>2</cp:revision>
  <dc:subject/>
  <dc:title>Olst / 1880</dc:title>
</cp:coreProperties>
</file>