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Schalkhaar / 1900</w:t>
      </w:r>
    </w:p>
    <w:p>
      <w:pPr>
        <w:pStyle w:val="Heading2"/>
        <w:rPr>
          <w:i w:val="false"/>
          <w:i w:val="false"/>
          <w:iCs/>
        </w:rPr>
      </w:pPr>
      <w:r>
        <w:rPr>
          <w:i w:val="false"/>
          <w:iCs/>
        </w:rPr>
        <w:t>R.K. St-Nicolaaskerk</w:t>
      </w:r>
    </w:p>
    <w:p>
      <w:pPr>
        <w:pStyle w:val="T1"/>
        <w:jc w:val="start"/>
        <w:rPr>
          <w:i/>
          <w:i/>
          <w:iCs/>
          <w:lang w:val="nl-NL"/>
        </w:rPr>
      </w:pPr>
      <w:r>
        <w:rPr>
          <w:i/>
          <w:iCs/>
          <w:lang w:val="nl-NL"/>
        </w:rPr>
      </w:r>
    </w:p>
    <w:p>
      <w:pPr>
        <w:pStyle w:val="T1"/>
        <w:jc w:val="start"/>
        <w:rPr>
          <w:i/>
          <w:i/>
          <w:iCs/>
          <w:lang w:val="nl-NL"/>
        </w:rPr>
      </w:pPr>
      <w:r>
        <w:rPr>
          <w:i/>
          <w:iCs/>
          <w:lang w:val="nl-NL"/>
        </w:rPr>
        <w:t>Kerkgebouw uit 1895 naar ontwerp van G. te Riele. In 1933 ingrijpend gewijzigd en vergroot.</w:t>
      </w:r>
    </w:p>
    <w:p>
      <w:pPr>
        <w:pStyle w:val="T1"/>
        <w:jc w:val="start"/>
        <w:rPr>
          <w:i/>
          <w:i/>
          <w:iCs/>
          <w:lang w:val="nl-NL"/>
        </w:rPr>
      </w:pPr>
      <w:r>
        <w:rPr>
          <w:i/>
          <w:iCs/>
          <w:lang w:val="nl-NL"/>
        </w:rPr>
      </w:r>
    </w:p>
    <w:p>
      <w:pPr>
        <w:pStyle w:val="T1"/>
        <w:jc w:val="start"/>
        <w:rPr>
          <w:lang w:val="nl-NL"/>
        </w:rPr>
      </w:pPr>
      <w:r>
        <w:rPr>
          <w:lang w:val="nl-NL"/>
        </w:rPr>
        <w:t>Kas: 1900</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pPr>
      <w:r>
        <w:rPr/>
        <w:t>Bescheiden koorbegeleidings-instrument, dat terzijde op de koortribune is geplaatst. De balustrade van de koortribune is voorzien van briefpanelen. Hierboven verheft zich het orgelfront, dat slechts uit één vlak veld bestaat, waaronder zich het paneelwerk van de onderkas bevindt. Alle paneelwerk van de orgelkas is vlak uitgevoerd.</w:t>
      </w:r>
    </w:p>
    <w:p>
      <w:pPr>
        <w:pStyle w:val="T2Kunst"/>
        <w:jc w:val="start"/>
        <w:rPr/>
      </w:pPr>
      <w:r>
        <w:rPr/>
        <w:t xml:space="preserve">Het frontveld wordt omlijst door zijstijlen met een inkassing en een bekroning welke aan een pinakel herinnert. </w:t>
      </w:r>
      <w:r>
        <w:rPr>
          <w:lang w:val="nl-NL"/>
        </w:rPr>
        <w:t>Boven de pijpen bevindt zich een spitsboog, op het hoogste punt bekroond door een kruisbloem. Het labiumverloop van de negen frontpijpen is licht V-vormig.</w:t>
      </w:r>
    </w:p>
    <w:p>
      <w:pPr>
        <w:pStyle w:val="T1"/>
        <w:jc w:val="start"/>
        <w:rPr>
          <w:lang w:val="nl-NL"/>
        </w:rPr>
      </w:pPr>
      <w:r>
        <w:rPr>
          <w:lang w:val="nl-NL"/>
        </w:rPr>
      </w:r>
    </w:p>
    <w:p>
      <w:pPr>
        <w:pStyle w:val="T3Lit"/>
        <w:rPr>
          <w:b/>
          <w:b/>
          <w:bCs/>
          <w:lang w:val="nl-NL"/>
        </w:rPr>
      </w:pPr>
      <w:r>
        <w:rPr>
          <w:b/>
          <w:bCs/>
          <w:lang w:val="nl-NL"/>
        </w:rPr>
        <w:t>Literatuur</w:t>
      </w:r>
    </w:p>
    <w:p>
      <w:pPr>
        <w:pStyle w:val="T3Lit"/>
        <w:jc w:val="start"/>
        <w:rPr/>
      </w:pPr>
      <w:r>
        <w:rPr>
          <w:i/>
          <w:iCs/>
          <w:lang w:val="nl-NL"/>
        </w:rPr>
        <w:t>De Mixtuur</w:t>
      </w:r>
      <w:r>
        <w:rPr>
          <w:lang w:val="nl-NL"/>
        </w:rPr>
        <w:t>, 55 (1986), 217.</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lang w:val="nl-NL"/>
        </w:rPr>
      </w:pPr>
      <w:r>
        <w:rPr>
          <w:lang w:val="nl-NL"/>
        </w:rPr>
        <w:t>Informatie ter plaatse verstrekt.</w:t>
      </w:r>
    </w:p>
    <w:p>
      <w:pPr>
        <w:pStyle w:val="T3Lit"/>
        <w:jc w:val="start"/>
        <w:rPr>
          <w:lang w:val="nl-NL"/>
        </w:rPr>
      </w:pPr>
      <w:r>
        <w:rPr>
          <w:lang w:val="nl-NL"/>
        </w:rPr>
        <w:t>Informatie verstrekt door Elbertse Orgelmakers.</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Ludwig Schwarze</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1900</w:t>
      </w:r>
    </w:p>
    <w:p>
      <w:pPr>
        <w:pStyle w:val="T1"/>
        <w:jc w:val="start"/>
        <w:rPr>
          <w:lang w:val="nl-NL"/>
        </w:rPr>
      </w:pPr>
      <w:r>
        <w:rPr>
          <w:lang w:val="nl-NL"/>
        </w:rPr>
      </w:r>
    </w:p>
    <w:p>
      <w:pPr>
        <w:pStyle w:val="T1"/>
        <w:jc w:val="start"/>
        <w:rPr>
          <w:lang w:val="nl-NL"/>
        </w:rPr>
      </w:pPr>
      <w:r>
        <w:rPr>
          <w:lang w:val="nl-NL"/>
        </w:rPr>
        <w:t>1921</w:t>
      </w:r>
    </w:p>
    <w:p>
      <w:pPr>
        <w:pStyle w:val="T1"/>
        <w:numPr>
          <w:ilvl w:val="0"/>
          <w:numId w:val="2"/>
        </w:numPr>
        <w:jc w:val="start"/>
        <w:rPr>
          <w:lang w:val="nl-NL"/>
        </w:rPr>
      </w:pPr>
      <w:r>
        <w:rPr>
          <w:lang w:val="nl-NL"/>
        </w:rPr>
        <w:t>orgel hersteld</w:t>
      </w:r>
    </w:p>
    <w:p>
      <w:pPr>
        <w:pStyle w:val="T1"/>
        <w:jc w:val="start"/>
        <w:rPr>
          <w:lang w:val="nl-NL"/>
        </w:rPr>
      </w:pPr>
      <w:r>
        <w:rPr>
          <w:lang w:val="nl-NL"/>
        </w:rPr>
      </w:r>
    </w:p>
    <w:p>
      <w:pPr>
        <w:pStyle w:val="T1"/>
        <w:jc w:val="start"/>
        <w:rPr>
          <w:lang w:val="nl-NL"/>
        </w:rPr>
      </w:pPr>
      <w:r>
        <w:rPr>
          <w:lang w:val="nl-NL"/>
        </w:rPr>
        <w:t>1922</w:t>
      </w:r>
    </w:p>
    <w:p>
      <w:pPr>
        <w:pStyle w:val="T1"/>
        <w:numPr>
          <w:ilvl w:val="0"/>
          <w:numId w:val="2"/>
        </w:numPr>
        <w:jc w:val="start"/>
        <w:rPr>
          <w:lang w:val="nl-NL"/>
        </w:rPr>
      </w:pPr>
      <w:r>
        <w:rPr>
          <w:lang w:val="nl-NL"/>
        </w:rPr>
        <w:t>windmachine geplaatst</w:t>
      </w:r>
    </w:p>
    <w:p>
      <w:pPr>
        <w:pStyle w:val="T1"/>
        <w:numPr>
          <w:ilvl w:val="0"/>
          <w:numId w:val="2"/>
        </w:numPr>
        <w:jc w:val="start"/>
        <w:rPr>
          <w:lang w:val="nl-NL"/>
        </w:rPr>
      </w:pPr>
      <w:r>
        <w:rPr>
          <w:lang w:val="nl-NL"/>
        </w:rPr>
        <w:t>vermoedelijk bij die gelegenheid schepbalgen en bijbehorende bediening verwijderd</w:t>
      </w:r>
    </w:p>
    <w:p>
      <w:pPr>
        <w:pStyle w:val="T1"/>
        <w:jc w:val="start"/>
        <w:rPr>
          <w:lang w:val="nl-NL"/>
        </w:rPr>
      </w:pPr>
      <w:r>
        <w:rPr>
          <w:lang w:val="nl-NL"/>
        </w:rPr>
      </w:r>
    </w:p>
    <w:p>
      <w:pPr>
        <w:pStyle w:val="T1"/>
        <w:jc w:val="start"/>
        <w:rPr>
          <w:lang w:val="nl-NL"/>
        </w:rPr>
      </w:pPr>
      <w:r>
        <w:rPr>
          <w:lang w:val="nl-NL"/>
        </w:rPr>
        <w:t>J.J. Elbertse 1943</w:t>
      </w:r>
    </w:p>
    <w:p>
      <w:pPr>
        <w:pStyle w:val="T1"/>
        <w:numPr>
          <w:ilvl w:val="0"/>
          <w:numId w:val="3"/>
        </w:numPr>
        <w:jc w:val="start"/>
        <w:rPr>
          <w:lang w:val="nl-NL"/>
        </w:rPr>
      </w:pPr>
      <w:r>
        <w:rPr>
          <w:lang w:val="nl-NL"/>
        </w:rPr>
        <w:t>orgel hersteld en gewijzigd en op bestaande oksaal verplaatst</w:t>
      </w:r>
    </w:p>
    <w:p>
      <w:pPr>
        <w:pStyle w:val="T1"/>
        <w:numPr>
          <w:ilvl w:val="0"/>
          <w:numId w:val="3"/>
        </w:numPr>
        <w:jc w:val="start"/>
        <w:rPr>
          <w:lang w:val="nl-NL"/>
        </w:rPr>
      </w:pPr>
      <w:r>
        <w:rPr>
          <w:lang w:val="nl-NL"/>
        </w:rPr>
        <w:t>toegang tot binnenwerk gewijzigd; Bourdon 16 verplaatst</w:t>
      </w:r>
    </w:p>
    <w:p>
      <w:pPr>
        <w:pStyle w:val="T1"/>
        <w:numPr>
          <w:ilvl w:val="0"/>
          <w:numId w:val="3"/>
        </w:numPr>
        <w:jc w:val="start"/>
        <w:rPr/>
      </w:pPr>
      <w:r>
        <w:rPr/>
        <w:t>- Vox Caelestis 8</w:t>
      </w:r>
      <w:r>
        <w:rPr>
          <w:lang w:val="nl-NL"/>
        </w:rPr>
        <w:t>'</w:t>
      </w:r>
      <w:r>
        <w:rPr/>
        <w:t>, - Dolce 8</w:t>
      </w:r>
      <w:r>
        <w:rPr>
          <w:lang w:val="nl-NL"/>
        </w:rPr>
        <w:t>'</w:t>
      </w:r>
      <w:r>
        <w:rPr/>
        <w:t>, + Octaaf 4</w:t>
      </w:r>
      <w:r>
        <w:rPr>
          <w:lang w:val="nl-NL"/>
        </w:rPr>
        <w:t>'</w:t>
      </w:r>
      <w:r>
        <w:rPr/>
        <w:t>, + Woudfluit 2</w:t>
      </w:r>
      <w:r>
        <w:rPr>
          <w:lang w:val="nl-NL"/>
        </w:rPr>
        <w:t>'</w:t>
      </w:r>
    </w:p>
    <w:p>
      <w:pPr>
        <w:pStyle w:val="T1"/>
        <w:numPr>
          <w:ilvl w:val="0"/>
          <w:numId w:val="3"/>
        </w:numPr>
        <w:jc w:val="start"/>
        <w:rPr>
          <w:lang w:val="nl-NL"/>
        </w:rPr>
      </w:pPr>
      <w:r>
        <w:rPr>
          <w:lang w:val="nl-NL"/>
        </w:rPr>
        <w:t>herintonatie</w:t>
      </w:r>
    </w:p>
    <w:p>
      <w:pPr>
        <w:pStyle w:val="T1"/>
        <w:jc w:val="start"/>
        <w:rPr>
          <w:lang w:val="nl-NL"/>
        </w:rPr>
      </w:pPr>
      <w:r>
        <w:rPr>
          <w:lang w:val="nl-NL"/>
        </w:rPr>
      </w:r>
    </w:p>
    <w:p>
      <w:pPr>
        <w:pStyle w:val="T1"/>
        <w:jc w:val="start"/>
        <w:rPr>
          <w:lang w:val="nl-NL"/>
        </w:rPr>
      </w:pPr>
      <w:r>
        <w:rPr>
          <w:lang w:val="nl-NL"/>
        </w:rPr>
        <w:t>J.J. Elbertse &amp; Zn 1985</w:t>
      </w:r>
    </w:p>
    <w:p>
      <w:pPr>
        <w:pStyle w:val="T1"/>
        <w:numPr>
          <w:ilvl w:val="0"/>
          <w:numId w:val="4"/>
        </w:numPr>
        <w:jc w:val="start"/>
        <w:rPr>
          <w:lang w:val="nl-NL"/>
        </w:rPr>
      </w:pPr>
      <w:r>
        <w:rPr>
          <w:lang w:val="nl-NL"/>
        </w:rPr>
        <w:t>restauratie</w:t>
      </w:r>
    </w:p>
    <w:p>
      <w:pPr>
        <w:pStyle w:val="T1"/>
        <w:numPr>
          <w:ilvl w:val="0"/>
          <w:numId w:val="4"/>
        </w:numPr>
        <w:jc w:val="start"/>
        <w:rPr>
          <w:lang w:val="nl-NL"/>
        </w:rPr>
      </w:pPr>
      <w:r>
        <w:rPr>
          <w:lang w:val="nl-NL"/>
        </w:rPr>
        <w:t>pneumatiek voor combinatie C-H Holpijp en Gamba vervangen</w:t>
      </w:r>
    </w:p>
    <w:p>
      <w:pPr>
        <w:pStyle w:val="T1"/>
        <w:numPr>
          <w:ilvl w:val="0"/>
          <w:numId w:val="4"/>
        </w:numPr>
        <w:jc w:val="start"/>
        <w:rPr>
          <w:lang w:val="nl-NL"/>
        </w:rPr>
      </w:pPr>
      <w:r>
        <w:rPr>
          <w:lang w:val="nl-NL"/>
        </w:rPr>
        <w:t>mechanische vrije combinatie hersteld</w:t>
      </w:r>
    </w:p>
    <w:p>
      <w:pPr>
        <w:pStyle w:val="T1"/>
        <w:numPr>
          <w:ilvl w:val="0"/>
          <w:numId w:val="4"/>
        </w:numPr>
        <w:jc w:val="start"/>
        <w:rPr>
          <w:lang w:val="nl-NL"/>
        </w:rPr>
      </w:pPr>
      <w:r>
        <w:rPr>
          <w:lang w:val="nl-NL"/>
        </w:rPr>
        <w:t>Man + Mixtuur 2 st. op kantsleep; Holpijp 8' vervangen door ander gebruikt exemplaar</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pedaal</w:t>
      </w:r>
    </w:p>
    <w:p>
      <w:pPr>
        <w:pStyle w:val="T1"/>
        <w:jc w:val="start"/>
        <w:rPr>
          <w:lang w:val="nl-NL"/>
        </w:rPr>
      </w:pPr>
      <w:r>
        <w:rPr>
          <w:lang w:val="nl-NL"/>
        </w:rPr>
      </w:r>
    </w:p>
    <w:p>
      <w:pPr>
        <w:pStyle w:val="T1"/>
        <w:jc w:val="start"/>
        <w:rPr/>
      </w:pPr>
      <w:r>
        <w:rPr/>
        <w:t>Dispositie</w:t>
      </w:r>
    </w:p>
    <w:tbl>
      <w:tblPr>
        <w:tblW w:w="3850" w:type="dxa"/>
        <w:jc w:val="start"/>
        <w:tblInd w:w="-70" w:type="dxa"/>
        <w:tblLayout w:type="fixed"/>
        <w:tblCellMar>
          <w:top w:w="0" w:type="dxa"/>
          <w:start w:w="70" w:type="dxa"/>
          <w:bottom w:w="0" w:type="dxa"/>
          <w:end w:w="70" w:type="dxa"/>
        </w:tblCellMar>
      </w:tblPr>
      <w:tblGrid>
        <w:gridCol w:w="1510"/>
        <w:gridCol w:w="720"/>
        <w:gridCol w:w="900"/>
        <w:gridCol w:w="720"/>
      </w:tblGrid>
      <w:tr>
        <w:trPr/>
        <w:tc>
          <w:tcPr>
            <w:tcW w:w="1510" w:type="dxa"/>
            <w:tcBorders/>
          </w:tcPr>
          <w:p>
            <w:pPr>
              <w:pStyle w:val="T4dispositie"/>
              <w:rPr>
                <w:i/>
                <w:i/>
                <w:iCs/>
                <w:lang w:val="nl-NL"/>
              </w:rPr>
            </w:pPr>
            <w:r>
              <w:rPr>
                <w:i/>
                <w:iCs/>
                <w:lang w:val="nl-NL"/>
              </w:rPr>
              <w:t>ManuaaI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Gamba</w:t>
            </w:r>
          </w:p>
          <w:p>
            <w:pPr>
              <w:pStyle w:val="T4dispositie"/>
              <w:rPr>
                <w:lang w:val="nl-NL"/>
              </w:rPr>
            </w:pPr>
            <w:r>
              <w:rPr>
                <w:lang w:val="nl-NL"/>
              </w:rPr>
              <w:t>Octaaf</w:t>
            </w:r>
          </w:p>
          <w:p>
            <w:pPr>
              <w:pStyle w:val="T4dispositie"/>
              <w:rPr>
                <w:lang w:val="nl-NL"/>
              </w:rPr>
            </w:pPr>
            <w:r>
              <w:rPr>
                <w:lang w:val="nl-NL"/>
              </w:rPr>
              <w:t>Fluit harmonique</w:t>
            </w:r>
          </w:p>
          <w:p>
            <w:pPr>
              <w:pStyle w:val="T4dispositie"/>
              <w:rPr>
                <w:lang w:val="nl-NL"/>
              </w:rPr>
            </w:pPr>
            <w:r>
              <w:rPr>
                <w:lang w:val="nl-NL"/>
              </w:rPr>
              <w:t>Woudfluit</w:t>
            </w:r>
          </w:p>
          <w:p>
            <w:pPr>
              <w:pStyle w:val="T4dispositie"/>
              <w:rPr>
                <w:lang w:val="nl-NL"/>
              </w:rPr>
            </w:pPr>
            <w:r>
              <w:rPr>
                <w:lang w:val="nl-NL"/>
              </w:rPr>
              <w:t>Mixtuur</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[2 st.]</w:t>
            </w:r>
          </w:p>
        </w:tc>
        <w:tc>
          <w:tcPr>
            <w:tcW w:w="900" w:type="dxa"/>
            <w:tcBorders/>
          </w:tcPr>
          <w:p>
            <w:pPr>
              <w:pStyle w:val="T4dispositie"/>
              <w:rPr>
                <w:i/>
                <w:i/>
                <w:iCs/>
                <w:lang w:val="nl-NL"/>
              </w:rPr>
            </w:pPr>
            <w:r>
              <w:rPr>
                <w:i/>
                <w:iCs/>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Bourdon</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pedaalkoppel</w:t>
      </w:r>
    </w:p>
    <w:p>
      <w:pPr>
        <w:pStyle w:val="T1"/>
        <w:jc w:val="start"/>
        <w:rPr>
          <w:lang w:val="nl-NL"/>
        </w:rPr>
      </w:pPr>
      <w:r>
        <w:rPr>
          <w:lang w:val="nl-NL"/>
        </w:rPr>
        <w:t>pedaal afsluiting</w:t>
      </w:r>
    </w:p>
    <w:p>
      <w:pPr>
        <w:pStyle w:val="T1"/>
        <w:jc w:val="start"/>
        <w:rPr>
          <w:lang w:val="nl-NL"/>
        </w:rPr>
      </w:pPr>
      <w:r>
        <w:rPr>
          <w:lang w:val="nl-NL"/>
        </w:rPr>
        <w:t>trede voor vrije combinatie</w:t>
      </w:r>
    </w:p>
    <w:p>
      <w:pPr>
        <w:pStyle w:val="T1"/>
        <w:jc w:val="start"/>
        <w:rPr>
          <w:lang w:val="nl-NL"/>
        </w:rPr>
      </w:pPr>
      <w:r>
        <w:rPr>
          <w:lang w:val="nl-NL"/>
        </w:rPr>
      </w:r>
    </w:p>
    <w:p>
      <w:pPr>
        <w:pStyle w:val="T1"/>
        <w:jc w:val="start"/>
        <w:rPr>
          <w:lang w:val="nl-NL"/>
        </w:rPr>
      </w:pPr>
      <w:r>
        <w:rPr>
          <w:lang w:val="nl-NL"/>
        </w:rPr>
        <w:t>Samenstelling vulstem</w:t>
      </w:r>
    </w:p>
    <w:tbl>
      <w:tblPr>
        <w:tblW w:w="3743" w:type="dxa"/>
        <w:jc w:val="start"/>
        <w:tblInd w:w="-70" w:type="dxa"/>
        <w:tblLayout w:type="fixed"/>
        <w:tblCellMar>
          <w:top w:w="0" w:type="dxa"/>
          <w:start w:w="70" w:type="dxa"/>
          <w:bottom w:w="0" w:type="dxa"/>
          <w:end w:w="70" w:type="dxa"/>
        </w:tblCellMar>
      </w:tblPr>
      <w:tblGrid>
        <w:gridCol w:w="1023"/>
        <w:gridCol w:w="555"/>
        <w:gridCol w:w="718"/>
        <w:gridCol w:w="729"/>
        <w:gridCol w:w="718"/>
      </w:tblGrid>
      <w:tr>
        <w:trPr/>
        <w:tc>
          <w:tcPr>
            <w:tcW w:w="1023" w:type="dxa"/>
            <w:tcBorders/>
          </w:tcPr>
          <w:p>
            <w:pPr>
              <w:pStyle w:val="T1"/>
              <w:jc w:val="start"/>
              <w:rPr>
                <w:lang w:val="nl-NL"/>
              </w:rPr>
            </w:pPr>
            <w:r>
              <w:rPr>
                <w:lang w:val="nl-NL"/>
              </w:rPr>
              <w:t>Mixtuur</w:t>
            </w:r>
          </w:p>
        </w:tc>
        <w:tc>
          <w:tcPr>
            <w:tcW w:w="555" w:type="dxa"/>
            <w:tcBorders/>
          </w:tcPr>
          <w:p>
            <w:pPr>
              <w:pStyle w:val="T4dispositie"/>
              <w:rPr/>
            </w:pPr>
            <w:r>
              <w:rPr/>
              <w:t>C</w:t>
            </w:r>
          </w:p>
          <w:p>
            <w:pPr>
              <w:pStyle w:val="T4dispositie"/>
              <w:rPr/>
            </w:pPr>
            <w:r>
              <w:rPr/>
              <w:t>1</w:t>
            </w:r>
          </w:p>
          <w:p>
            <w:pPr>
              <w:pStyle w:val="T4dispositie"/>
              <w:rPr/>
            </w:pPr>
            <w:r>
              <w:rPr/>
              <w:t>2/3</w:t>
            </w:r>
          </w:p>
        </w:tc>
        <w:tc>
          <w:tcPr>
            <w:tcW w:w="718" w:type="dxa"/>
            <w:tcBorders/>
          </w:tcPr>
          <w:p>
            <w:pPr>
              <w:pStyle w:val="T4dispositie"/>
              <w:rPr/>
            </w:pPr>
            <w:r>
              <w:rPr/>
              <w:t>c</w:t>
            </w:r>
          </w:p>
          <w:p>
            <w:pPr>
              <w:pStyle w:val="T4dispositie"/>
              <w:rPr/>
            </w:pPr>
            <w:r>
              <w:rPr/>
              <w:t>1 1/3</w:t>
            </w:r>
          </w:p>
          <w:p>
            <w:pPr>
              <w:pStyle w:val="T4dispositie"/>
              <w:rPr>
                <w:lang w:val="nl-NL"/>
              </w:rPr>
            </w:pPr>
            <w:r>
              <w:rPr>
                <w:lang w:val="nl-NL"/>
              </w:rPr>
              <w:t>1</w:t>
            </w:r>
          </w:p>
        </w:tc>
        <w:tc>
          <w:tcPr>
            <w:tcW w:w="729" w:type="dxa"/>
            <w:tcBorders/>
          </w:tcPr>
          <w:p>
            <w:pPr>
              <w:pStyle w:val="T4dispositie"/>
              <w:rPr/>
            </w:pPr>
            <w:r>
              <w:rPr>
                <w:lang w:val="nl-NL"/>
              </w:rPr>
              <w:t>c</w:t>
            </w:r>
            <w:r>
              <w:rPr>
                <w:vertAlign w:val="superscript"/>
                <w:lang w:val="nl-NL"/>
              </w:rPr>
              <w:t>1</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fis</w:t>
            </w:r>
            <w:r>
              <w:rPr>
                <w:vertAlign w:val="superscript"/>
                <w:lang w:val="nl-NL"/>
              </w:rPr>
              <w:t>2</w:t>
            </w:r>
          </w:p>
          <w:p>
            <w:pPr>
              <w:pStyle w:val="T4dispositie"/>
              <w:rPr>
                <w:lang w:val="nl-NL"/>
              </w:rPr>
            </w:pPr>
            <w:r>
              <w:rPr>
                <w:lang w:val="nl-NL"/>
              </w:rPr>
              <w:t>2 2/3</w:t>
            </w:r>
          </w:p>
          <w:p>
            <w:pPr>
              <w:pStyle w:val="T4dispositie"/>
              <w:rPr>
                <w:lang w:val="nl-NL"/>
              </w:rPr>
            </w:pPr>
            <w:r>
              <w:rPr>
                <w:lang w:val="nl-NL"/>
              </w:rPr>
              <w:t>2</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431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rFonts w:ascii="Times New Roman" w:hAnsi="Times New Roman" w:cs="Times New Roman"/>
          <w:szCs w:val="24"/>
        </w:rPr>
      </w:pPr>
      <w:r>
        <w:rPr>
          <w:rFonts w:cs="Times New Roman" w:ascii="Times New Roman" w:hAnsi="Times New Roman"/>
          <w:szCs w:val="24"/>
        </w:rPr>
        <w:t>C-g</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Normal"/>
        <w:rPr>
          <w:rFonts w:ascii="Times New Roman" w:hAnsi="Times New Roman" w:cs="Times New Roman"/>
          <w:szCs w:val="24"/>
        </w:rPr>
      </w:pPr>
      <w:r>
        <w:rPr>
          <w:rFonts w:cs="Times New Roman" w:ascii="Times New Roman" w:hAnsi="Times New Roman"/>
          <w:szCs w:val="24"/>
        </w:rPr>
        <w:t>magazijnbalg (1900)</w:t>
      </w:r>
    </w:p>
    <w:p>
      <w:pPr>
        <w:pStyle w:val="Normal"/>
        <w:rPr>
          <w:rFonts w:ascii="Times New Roman" w:hAnsi="Times New Roman" w:cs="Times New Roman"/>
          <w:szCs w:val="24"/>
        </w:rPr>
      </w:pPr>
      <w:r>
        <w:rPr>
          <w:rFonts w:cs="Times New Roman" w:ascii="Times New Roman" w:hAnsi="Times New Roman"/>
          <w:szCs w:val="24"/>
        </w:rPr>
        <w:t>Winddruk</w:t>
      </w:r>
    </w:p>
    <w:p>
      <w:pPr>
        <w:pStyle w:val="Normal"/>
        <w:rPr>
          <w:rFonts w:ascii="Times New Roman" w:hAnsi="Times New Roman" w:cs="Times New Roman"/>
          <w:szCs w:val="24"/>
        </w:rPr>
      </w:pPr>
      <w:r>
        <w:rPr>
          <w:rFonts w:cs="Times New Roman" w:ascii="Times New Roman" w:hAnsi="Times New Roman"/>
          <w:szCs w:val="24"/>
        </w:rPr>
        <w:t>73 mm</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Plaats klaviatuur</w:t>
      </w:r>
    </w:p>
    <w:p>
      <w:pPr>
        <w:pStyle w:val="Normal"/>
        <w:rPr>
          <w:rFonts w:ascii="Times New Roman" w:hAnsi="Times New Roman" w:cs="Times New Roman"/>
          <w:szCs w:val="24"/>
        </w:rPr>
      </w:pPr>
      <w:r>
        <w:rPr>
          <w:rFonts w:cs="Times New Roman" w:ascii="Times New Roman" w:hAnsi="Times New Roman"/>
          <w:szCs w:val="24"/>
        </w:rPr>
        <w:t>linkerzijde</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orgelkas is van naaldhout; de achterwand bestaat uit eenvoudig rasterwerk.</w:t>
      </w:r>
    </w:p>
    <w:p>
      <w:pPr>
        <w:pStyle w:val="T1"/>
        <w:jc w:val="start"/>
        <w:rPr>
          <w:lang w:val="nl-NL"/>
        </w:rPr>
      </w:pPr>
      <w:r>
        <w:rPr>
          <w:lang w:val="nl-NL"/>
        </w:rPr>
        <w:t>Met uitzondering van de registerplaatjes is de klaviatuur nog origineel. De registerknoppen zijn aan weerszijden van het handklavier aangebracht. Het naamplaatje van de orgelmaker is nog aanwezig. Het orgel is uitgerust met een vrije combinatie. Wanneer de hiervoor bestemde trede wordt ingetrapt kan men een aantal registerknoppen een halve slag naar links draaien waardoor deze worden verbonden met de trede. Bij het vervolgens uitschakelen (loslaten) van de trede worden deze registers toegevoegd aan de reeds getrokken registers; bij het opnieuw intrappen van de trede worden ze weer uitgeschakeld. De Mixtuur valt buiten dit systeem.</w:t>
      </w:r>
    </w:p>
    <w:p>
      <w:pPr>
        <w:pStyle w:val="T1"/>
        <w:jc w:val="start"/>
        <w:rPr/>
      </w:pPr>
      <w:r>
        <w:rPr>
          <w:lang w:val="nl-NL"/>
        </w:rPr>
        <w:t>De lade ligt haaks op het front en heeft de volgende indeling: C Cis D Dis E F dis (chromatisch) f</w:t>
      </w:r>
      <w:r>
        <w:rPr>
          <w:vertAlign w:val="superscript"/>
          <w:lang w:val="nl-NL"/>
        </w:rPr>
        <w:t>3</w:t>
      </w:r>
      <w:r>
        <w:rPr>
          <w:lang w:val="nl-NL"/>
        </w:rPr>
        <w:t xml:space="preserve"> d c B Gis Fis G A H cis. Voor de tonen F-d is een wellenbord aanwezig; de tractuur voor de overige tonen is waaiervormig aangelegd.</w:t>
      </w:r>
    </w:p>
    <w:p>
      <w:pPr>
        <w:pStyle w:val="T1"/>
        <w:jc w:val="start"/>
        <w:rPr>
          <w:lang w:val="nl-NL"/>
        </w:rPr>
      </w:pPr>
      <w:r>
        <w:rPr>
          <w:lang w:val="nl-NL"/>
        </w:rPr>
        <w:t>C-F van de Prestant 8' zijn open houten binnenpijpen die tegen de achterwand zijn afgevoerd. Fis-d staan in het front, het vervolg staat op de lade. De Gamba 8' is van C-H gecombineerd met de Holpijp, het vervolg is van metaal met rolbaarden. C-H van de Holpijp 8' zijn van hout. De Fluit harmonique 4' is open, cilindrisch en vanaf g overblazend. De Woudfluit 2' is cilindrisch. De Bourdon 16' is van hout en staat tegen de rechter zijwand van de kas, tegenover de klaviatuur. Het open metalen pijpwerk is grotendeels voorzien van expressions.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663"/>
      </w:pPr>
      <w:rPr>
        <w:rFonts w:ascii="Times New Roman" w:hAnsi="Times New Roman" w:cs="Times New Roman" w:hint="default"/>
      </w:rPr>
    </w:lvl>
  </w:abstractNum>
  <w:abstractNum w:abstractNumId="3">
    <w:lvl w:ilvl="0">
      <w:start w:val="1"/>
      <w:numFmt w:val="bullet"/>
      <w:lvlText w:val=""/>
      <w:lvlJc w:val="start"/>
      <w:pPr>
        <w:tabs>
          <w:tab w:val="num" w:pos="720"/>
        </w:tabs>
        <w:ind w:start="720" w:hanging="663"/>
      </w:pPr>
      <w:rPr>
        <w:rFonts w:ascii="Times New Roman" w:hAnsi="Times New Roman" w:cs="Times New Roman" w:hint="default"/>
      </w:rPr>
    </w:lvl>
  </w:abstractNum>
  <w:abstractNum w:abstractNumId="4">
    <w:lvl w:ilvl="0">
      <w:start w:val="1"/>
      <w:numFmt w:val="bullet"/>
      <w:lvlText w:val=""/>
      <w:lvlJc w:val="start"/>
      <w:pPr>
        <w:tabs>
          <w:tab w:val="num" w:pos="720"/>
        </w:tabs>
        <w:ind w:start="720" w:hanging="663"/>
      </w:pPr>
      <w:rPr>
        <w:rFonts w:ascii="Times New Roman" w:hAnsi="Times New Roman" w:cs="Times New Roman"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rPr>
  </w:style>
  <w:style w:type="character" w:styleId="WW8Num2z1">
    <w:name w:val="WW8Num2z1"/>
    <w:qFormat/>
    <w:rPr>
      <w:rFonts w:ascii="Times New Roman" w:hAnsi="Times New Roman" w:eastAsia="Times New Roman" w:cs="Times New Roman"/>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2z4">
    <w:name w:val="WW8Num2z4"/>
    <w:qFormat/>
    <w:rPr>
      <w:rFonts w:ascii="Courier New" w:hAnsi="Courier New" w:cs="Courier New"/>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2010-03-16T12:00:00Z</dcterms:created>
  <dc:creator>WS1</dc:creator>
  <dc:description/>
  <dc:language>en-US</dc:language>
  <cp:lastModifiedBy>Hans Steketee</cp:lastModifiedBy>
  <dcterms:modified xsi:type="dcterms:W3CDTF">2010-03-16T12:00:00Z</dcterms:modified>
  <cp:revision>2</cp:revision>
  <dc:subject/>
  <dc:title>Olst / 1880</dc:title>
</cp:coreProperties>
</file>