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Renswoude / ca 1907</w:t>
      </w:r>
    </w:p>
    <w:p>
      <w:pPr>
        <w:pStyle w:val="Heading2"/>
        <w:ind w:start="0" w:end="0" w:hanging="0"/>
        <w:rPr>
          <w:i w:val="false"/>
          <w:i w:val="false"/>
          <w:iCs/>
        </w:rPr>
      </w:pPr>
      <w:r>
        <w:rPr>
          <w:i w:val="false"/>
          <w:iCs/>
        </w:rPr>
        <w:t>Hervormde Kerk (Koepelkerk)</w:t>
      </w:r>
    </w:p>
    <w:p>
      <w:pPr>
        <w:pStyle w:val="T1"/>
        <w:jc w:val="start"/>
        <w:rPr>
          <w:i/>
          <w:i/>
          <w:iCs/>
        </w:rPr>
      </w:pPr>
      <w:r>
        <w:rPr>
          <w:i/>
          <w:iCs/>
        </w:rPr>
      </w:r>
    </w:p>
    <w:p>
      <w:pPr>
        <w:pStyle w:val="T1"/>
        <w:jc w:val="start"/>
        <w:rPr>
          <w:i/>
          <w:i/>
          <w:iCs/>
          <w:szCs w:val="16"/>
          <w:lang w:val="nl-NL"/>
        </w:rPr>
      </w:pPr>
      <w:r>
        <w:rPr>
          <w:i/>
          <w:iCs/>
          <w:szCs w:val="16"/>
          <w:lang w:val="nl-NL"/>
        </w:rPr>
        <w:t>Koepelkerk in classicistische centraalbouw, gebouwd tussen 1639 en 1641 door Jacob van Campen in opdracht van de toenmalige heer van Renswoude, Johan van Reede.</w:t>
      </w:r>
    </w:p>
    <w:p>
      <w:pPr>
        <w:pStyle w:val="T1"/>
        <w:jc w:val="start"/>
        <w:rPr>
          <w:i/>
          <w:i/>
          <w:iCs/>
          <w:szCs w:val="16"/>
          <w:lang w:val="nl-NL"/>
        </w:rPr>
      </w:pPr>
      <w:r>
        <w:rPr>
          <w:i/>
          <w:iCs/>
          <w:szCs w:val="16"/>
          <w:lang w:val="nl-NL"/>
        </w:rPr>
      </w:r>
    </w:p>
    <w:p>
      <w:pPr>
        <w:pStyle w:val="T1"/>
        <w:jc w:val="start"/>
        <w:rPr>
          <w:lang w:val="nl-NL"/>
        </w:rPr>
      </w:pPr>
      <w:r>
        <w:rPr>
          <w:lang w:val="nl-NL"/>
        </w:rPr>
        <w:t>Front: ca 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Dit orgelfront behoorde tot 1968 bij het orgel in de Dorpskerk van Oud-Loosdrecht. Het vertoont opmerkelijke gelijkenis met het front van het orgel, dat G. van Leeuwen in 1907 leverde aan de Gereformeerde kerk van Oudshoorn. Er zijn slechts kleine verschillen aanwijsbaar. Ze betreffen een afwijkende detaillering van de onderkas, de uitvoering van de bekroningen, het al of niet aanwezig zijn van vleugelstukken en het aantal pijpen in de tussenvelden, dat bij het orgel van Oudshoorn 11 is, tegen negen in Renswoude.</w:t>
      </w:r>
    </w:p>
    <w:p>
      <w:pPr>
        <w:pStyle w:val="T2Kunst"/>
        <w:jc w:val="start"/>
        <w:rPr>
          <w:lang w:val="nl-NL"/>
        </w:rPr>
      </w:pPr>
      <w:r>
        <w:rPr>
          <w:lang w:val="nl-NL"/>
        </w:rPr>
        <w:t>Het ontwerp en de uitvoering van deze fronten staat nog geheel in de traditie van de neorenaissance, die in de tweede helft van de 19e eeuw grote opgang maakte in de wereld van de architectuur. In de tijd waarin dit front ontstond hadden nieuwere opvattingen zich reeds gemanifesteerd. Maar ook al behoort het front dan tot een late echo van een eerdere stroming, het is met verve ontworpen en gemaakt.</w:t>
      </w:r>
    </w:p>
    <w:p>
      <w:pPr>
        <w:pStyle w:val="T2Kunst"/>
        <w:jc w:val="start"/>
        <w:rPr>
          <w:lang w:val="nl-NL"/>
        </w:rPr>
      </w:pPr>
      <w:r>
        <w:rPr>
          <w:lang w:val="nl-NL"/>
        </w:rPr>
        <w:t>Binnen het traditionele schema van ronde middentoren, zijtorens met trapeziumvormige kappen en onderlijsten en vlak uitgevoerde ongedeelde tussenvelden is een uitbundig front gecomponeerd waaruit alle elementen van de Franse meubelstijlen, die de fronten zo lang hadden gedomineerd zijn verdwenen. In plaats hiervan is een ruime greep gedaan uit de alom circulerende voorbeeldboeken met historische bouwkundige ornamenten, en wel uit het hoofdstuk ‘renaissance’. Zelfs Vredeman de Vries zèlf is met zijn via de 16e-eeuwse voorbeeldboeken geïntroduceerde metaalbeslag-imitatie in dit front aanwijsbaar!</w:t>
      </w:r>
    </w:p>
    <w:p>
      <w:pPr>
        <w:pStyle w:val="T2Kunst"/>
        <w:jc w:val="start"/>
        <w:rPr>
          <w:lang w:val="nl-NL"/>
        </w:rPr>
      </w:pPr>
      <w:r>
        <w:rPr>
          <w:lang w:val="nl-NL"/>
        </w:rPr>
        <w:t>Kenmerkend is voorts de verhoogde plaatsing van de middentoren, welke op een zware gelobde console rust. De omhoog stuwende labiumlijn van de tussenvelden accentueert mede het verticale accent dat hiermee wordt bereikt. De dreiging van stijfheid, die de rechthoekige hoofdvorm met zich mee zou kunnen brengen is hierdoor adequaat geëlimineerd.</w:t>
      </w:r>
    </w:p>
    <w:p>
      <w:pPr>
        <w:pStyle w:val="T2Kunst"/>
        <w:jc w:val="start"/>
        <w:rPr>
          <w:lang w:val="nl-NL"/>
        </w:rPr>
      </w:pPr>
      <w:r>
        <w:rPr>
          <w:lang w:val="nl-NL"/>
        </w:rPr>
        <w:t>Slechts op één opvallend punt lijkt op de zuiverheid van stijl te kunnen worden afgedongen: bij de tussenvelden neigt de hol gebogen lijn bij de pijpvoeten en de bol gebogen tegenhanger hiervan bovenin op een langgerekt C-voluut, terwijl met enige fantasie ook aan een ontlening aan een van de actuele stijluitingen van de bouwtijd kan worden gedacht: de Jugendstil.</w:t>
      </w:r>
    </w:p>
    <w:p>
      <w:pPr>
        <w:pStyle w:val="T2Kunst"/>
        <w:jc w:val="start"/>
        <w:rPr/>
      </w:pPr>
      <w:r>
        <w:rPr/>
        <w:t xml:space="preserve">De vleugelstukken (Oudshoorn bezit ze niet) plaatsten de ontwerper voor een dilemma: hier kon nauwelijks op voorbeelden worden geleund. Gekozen is voor een fragiel ornament, in hoofdzaak bestaand uit rechthoekige vormen, aangevuld met enkele gebogen lijnen die de overgang naar de frontstijlen moesten bewerkstelligen. </w:t>
      </w:r>
      <w:r>
        <w:rPr>
          <w:lang w:val="nl-NL"/>
        </w:rPr>
        <w:t xml:space="preserve">De bekroningen zien er na de overplaatsing van Oud-Loosdrecht naar Renswoude wat minder uitbundig uit dan oorspronkelijk het geval was. </w:t>
      </w:r>
      <w:r>
        <w:rPr/>
        <w:t>De nu aanwezige bekroning op de zijtorens liep oorspronkelijk uit op een fors, aan een kruisbloem herinnerend  ornament, terwijl de bekroning op de middentoren behalve het nu nog aanwezige restant ook nog dunne, zijwaarts uitstekende figuurtjes bezat.</w:t>
      </w:r>
    </w:p>
    <w:p>
      <w:pPr>
        <w:pStyle w:val="T1"/>
        <w:rPr>
          <w:lang w:val="nl-NL"/>
        </w:rPr>
      </w:pPr>
      <w:r>
        <w:rPr>
          <w:lang w:val="nl-NL"/>
        </w:rPr>
      </w:r>
    </w:p>
    <w:p>
      <w:pPr>
        <w:pStyle w:val="T3Lit"/>
        <w:jc w:val="start"/>
        <w:rPr>
          <w:lang w:val="nl-NL"/>
        </w:rPr>
      </w:pPr>
      <w:r>
        <w:rPr>
          <w:b/>
          <w:bCs/>
          <w:lang w:val="nl-NL"/>
        </w:rPr>
        <w:t>Niet gepubliceerde bron</w:t>
      </w:r>
    </w:p>
    <w:p>
      <w:pPr>
        <w:pStyle w:val="T3Lit"/>
        <w:jc w:val="start"/>
        <w:rPr>
          <w:lang w:val="nl-NL"/>
        </w:rPr>
      </w:pPr>
      <w:r>
        <w:rPr>
          <w:lang w:val="nl-NL"/>
        </w:rPr>
        <w:t>Archief Orgelmakers Van Vulpen.</w:t>
      </w:r>
    </w:p>
    <w:p>
      <w:pPr>
        <w:pStyle w:val="T3Lit"/>
        <w:jc w:val="start"/>
        <w:rPr>
          <w:lang w:val="nl-NL"/>
        </w:rPr>
      </w:pPr>
      <w:r>
        <w:rPr>
          <w:lang w:val="nl-NL"/>
        </w:rPr>
      </w:r>
    </w:p>
    <w:p>
      <w:pPr>
        <w:pStyle w:val="T3Lit"/>
        <w:jc w:val="start"/>
        <w:rPr>
          <w:lang w:val="nl-NL"/>
        </w:rPr>
      </w:pPr>
      <w:r>
        <w:rPr>
          <w:lang w:val="nl-NL"/>
        </w:rPr>
        <w:t>Monumentnummer 32450</w:t>
      </w:r>
    </w:p>
    <w:p>
      <w:pPr>
        <w:pStyle w:val="T3Lit"/>
        <w:jc w:val="start"/>
        <w:rPr>
          <w:lang w:val="nl-NL"/>
        </w:rPr>
      </w:pPr>
      <w:r>
        <w:rPr>
          <w:lang w:val="nl-NL"/>
        </w:rPr>
        <w:t>Orgelnummer 1257</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 van Leeuwen?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ca 1907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Oud-Loosdrecht, Hervormde Kerk</w:t>
      </w:r>
    </w:p>
    <w:p>
      <w:pPr>
        <w:pStyle w:val="T1"/>
        <w:jc w:val="start"/>
        <w:rPr>
          <w:lang w:val="nl-NL"/>
        </w:rPr>
      </w:pPr>
      <w:r>
        <w:rPr>
          <w:lang w:val="nl-NL"/>
        </w:rPr>
      </w:r>
    </w:p>
    <w:p>
      <w:pPr>
        <w:pStyle w:val="T1"/>
        <w:jc w:val="start"/>
        <w:rPr>
          <w:lang w:val="nl-NL"/>
        </w:rPr>
      </w:pPr>
      <w:r>
        <w:rPr>
          <w:lang w:val="nl-NL"/>
        </w:rPr>
        <w:t>1968</w:t>
      </w:r>
    </w:p>
    <w:p>
      <w:pPr>
        <w:pStyle w:val="T1"/>
        <w:jc w:val="start"/>
        <w:rPr>
          <w:lang w:val="nl-NL"/>
        </w:rPr>
      </w:pPr>
      <w:r>
        <w:rPr>
          <w:lang w:val="nl-NL"/>
        </w:rPr>
        <w:t>.</w:t>
        <w:tab/>
        <w:t>orgel afgebroken</w:t>
      </w:r>
    </w:p>
    <w:p>
      <w:pPr>
        <w:pStyle w:val="T1"/>
        <w:jc w:val="start"/>
        <w:rPr>
          <w:lang w:val="nl-NL"/>
        </w:rPr>
      </w:pPr>
      <w:r>
        <w:rPr>
          <w:lang w:val="nl-NL"/>
        </w:rPr>
      </w:r>
    </w:p>
    <w:p>
      <w:pPr>
        <w:pStyle w:val="T1"/>
        <w:jc w:val="start"/>
        <w:rPr>
          <w:lang w:val="nl-NL"/>
        </w:rPr>
      </w:pPr>
      <w:r>
        <w:rPr>
          <w:lang w:val="nl-NL"/>
        </w:rPr>
        <w:t>M.K. Koppejan 1977</w:t>
      </w:r>
    </w:p>
    <w:p>
      <w:pPr>
        <w:pStyle w:val="T1"/>
        <w:jc w:val="start"/>
        <w:rPr>
          <w:lang w:val="nl-NL"/>
        </w:rPr>
      </w:pPr>
      <w:r>
        <w:rPr>
          <w:lang w:val="nl-NL"/>
        </w:rPr>
        <w:t>.</w:t>
        <w:tab/>
        <w:t>front geplaatst voor het bestaande orgel van de Hervormde Kerk te Renswoude</w:t>
      </w:r>
    </w:p>
    <w:p>
      <w:pPr>
        <w:pStyle w:val="T1"/>
        <w:jc w:val="start"/>
        <w:rPr>
          <w:lang w:val="nl-NL"/>
        </w:rPr>
      </w:pPr>
      <w:r>
        <w:rPr>
          <w:lang w:val="nl-NL"/>
        </w:rPr>
      </w:r>
    </w:p>
    <w:p>
      <w:pPr>
        <w:pStyle w:val="T1"/>
        <w:jc w:val="start"/>
        <w:rPr>
          <w:lang w:val="nl-NL"/>
        </w:rPr>
      </w:pPr>
      <w:r>
        <w:rPr>
          <w:lang w:val="nl-NL"/>
        </w:rPr>
        <w:t>M.K. Koppejan 1980</w:t>
      </w:r>
    </w:p>
    <w:p>
      <w:pPr>
        <w:pStyle w:val="T1"/>
        <w:jc w:val="start"/>
        <w:rPr/>
      </w:pPr>
      <w:r>
        <w:rPr/>
        <w:t>.</w:t>
        <w:tab/>
        <w:t>Man - B 16', + Sexquialter [D] 2 st.</w:t>
      </w:r>
    </w:p>
    <w:p>
      <w:pPr>
        <w:pStyle w:val="T1"/>
        <w:jc w:val="start"/>
        <w:rPr>
          <w:lang w:val="nl-NL"/>
        </w:rPr>
      </w:pPr>
      <w:r>
        <w:rPr>
          <w:lang w:val="nl-NL"/>
        </w:rPr>
        <w:t>.</w:t>
        <w:tab/>
        <w:t>Ped + Bas Prestant 8</w:t>
      </w:r>
      <w:r>
        <w:rPr/>
        <w:t>'</w:t>
      </w:r>
    </w:p>
    <w:p>
      <w:pPr>
        <w:pStyle w:val="T1"/>
        <w:jc w:val="start"/>
        <w:rPr>
          <w:lang w:val="nl-NL"/>
        </w:rPr>
      </w:pPr>
      <w:r>
        <w:rPr>
          <w:lang w:val="nl-NL"/>
        </w:rPr>
      </w:r>
    </w:p>
    <w:p>
      <w:pPr>
        <w:pStyle w:val="T1"/>
        <w:jc w:val="start"/>
        <w:rPr>
          <w:lang w:val="nl-NL"/>
        </w:rPr>
      </w:pPr>
      <w:r>
        <w:rPr>
          <w:lang w:val="nl-NL"/>
        </w:rPr>
        <w:t>Gebr. van Vulpen 1983</w:t>
      </w:r>
    </w:p>
    <w:p>
      <w:pPr>
        <w:pStyle w:val="T1"/>
        <w:jc w:val="start"/>
        <w:rPr>
          <w:lang w:val="nl-NL"/>
        </w:rPr>
      </w:pPr>
      <w:r>
        <w:rPr>
          <w:lang w:val="nl-NL"/>
        </w:rPr>
        <w:t>.</w:t>
        <w:tab/>
        <w:t>pijpwerk gerestaureerd</w:t>
      </w:r>
    </w:p>
    <w:p>
      <w:pPr>
        <w:pStyle w:val="T1"/>
        <w:jc w:val="start"/>
        <w:rPr>
          <w:lang w:val="nl-NL"/>
        </w:rPr>
      </w:pPr>
      <w:r>
        <w:rPr>
          <w:lang w:val="nl-NL"/>
        </w:rPr>
      </w:r>
    </w:p>
    <w:p>
      <w:pPr>
        <w:pStyle w:val="T1"/>
        <w:jc w:val="start"/>
        <w:rPr>
          <w:lang w:val="nl-NL"/>
        </w:rPr>
      </w:pPr>
      <w:r>
        <w:rPr>
          <w:lang w:val="nl-NL"/>
        </w:rPr>
        <w:t>Gebr. van Vulpen 1994</w:t>
      </w:r>
    </w:p>
    <w:p>
      <w:pPr>
        <w:pStyle w:val="T1"/>
        <w:jc w:val="start"/>
        <w:rPr>
          <w:lang w:val="nl-NL"/>
        </w:rPr>
      </w:pPr>
      <w:r>
        <w:rPr>
          <w:lang w:val="nl-NL"/>
        </w:rPr>
        <w:t>.</w:t>
        <w:tab/>
        <w:t>telescoophulzen Man vervangen door systeemringen</w:t>
      </w:r>
    </w:p>
    <w:p>
      <w:pPr>
        <w:pStyle w:val="T1"/>
        <w:jc w:val="start"/>
        <w:rPr>
          <w:lang w:val="nl-NL"/>
        </w:rPr>
      </w:pPr>
      <w:r>
        <w:rPr>
          <w:lang w:val="nl-NL"/>
        </w:rPr>
      </w:r>
    </w:p>
    <w:p>
      <w:pPr>
        <w:pStyle w:val="T1"/>
        <w:jc w:val="start"/>
        <w:rPr>
          <w:lang w:val="nl-NL"/>
        </w:rPr>
      </w:pPr>
      <w:r>
        <w:rPr>
          <w:lang w:val="nl-NL"/>
        </w:rPr>
        <w:t>Gebr. van Vulpen 1998</w:t>
      </w:r>
    </w:p>
    <w:p>
      <w:pPr>
        <w:pStyle w:val="T1"/>
        <w:jc w:val="start"/>
        <w:rPr>
          <w:lang w:val="nl-NL"/>
        </w:rPr>
      </w:pPr>
      <w:r>
        <w:rPr>
          <w:lang w:val="nl-NL"/>
        </w:rPr>
        <w:t>.</w:t>
        <w:tab/>
        <w:t>telescoophulzen Ped vervangen door systeemringen</w:t>
      </w:r>
    </w:p>
    <w:p>
      <w:pPr>
        <w:pStyle w:val="T1"/>
        <w:jc w:val="start"/>
        <w:rPr>
          <w:lang w:val="nl-NL"/>
        </w:rPr>
      </w:pPr>
      <w:r>
        <w:rPr>
          <w:lang w:val="nl-NL"/>
        </w:rPr>
      </w:r>
    </w:p>
    <w:p>
      <w:pPr>
        <w:pStyle w:val="T1"/>
        <w:jc w:val="start"/>
        <w:rPr>
          <w:lang w:val="nl-NL"/>
        </w:rPr>
      </w:pPr>
      <w:r>
        <w:rPr>
          <w:lang w:val="nl-NL"/>
        </w:rPr>
        <w:t>Gebr. van Vulpen 2006</w:t>
      </w:r>
    </w:p>
    <w:p>
      <w:pPr>
        <w:pStyle w:val="T1"/>
        <w:jc w:val="start"/>
        <w:rPr>
          <w:lang w:val="nl-NL"/>
        </w:rPr>
      </w:pPr>
      <w:r>
        <w:rPr>
          <w:lang w:val="nl-NL"/>
        </w:rPr>
        <w:t>.</w:t>
        <w:tab/>
        <w:t>nieuwe tremulant geplaatst</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181" w:type="dxa"/>
        <w:jc w:val="start"/>
        <w:tblInd w:w="0" w:type="dxa"/>
        <w:tblLayout w:type="fixed"/>
        <w:tblCellMar>
          <w:top w:w="0" w:type="dxa"/>
          <w:start w:w="70" w:type="dxa"/>
          <w:bottom w:w="0" w:type="dxa"/>
          <w:end w:w="70" w:type="dxa"/>
        </w:tblCellMar>
      </w:tblPr>
      <w:tblGrid>
        <w:gridCol w:w="1737"/>
        <w:gridCol w:w="760"/>
        <w:gridCol w:w="1117"/>
        <w:gridCol w:w="567"/>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Sexquialter [D]</w:t>
            </w:r>
          </w:p>
          <w:p>
            <w:pPr>
              <w:pStyle w:val="T4dispositie"/>
              <w:rPr>
                <w:lang w:val="nl-NL"/>
              </w:rPr>
            </w:pPr>
            <w:r>
              <w:rPr>
                <w:lang w:val="nl-NL"/>
              </w:rPr>
              <w:t>Trompet B/D</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w:t>
            </w:r>
          </w:p>
          <w:p>
            <w:pPr>
              <w:pStyle w:val="T4dispositie"/>
              <w:rPr>
                <w:lang w:val="nl-NL"/>
              </w:rPr>
            </w:pPr>
            <w:r>
              <w:rPr>
                <w:lang w:val="nl-NL"/>
              </w:rPr>
              <w:t>2 st.</w:t>
            </w:r>
          </w:p>
          <w:p>
            <w:pPr>
              <w:pStyle w:val="T4dispositie"/>
              <w:rPr>
                <w:lang w:val="nl-NL"/>
              </w:rPr>
            </w:pPr>
            <w:r>
              <w:rPr>
                <w:lang w:val="nl-NL"/>
              </w:rPr>
              <w:t>8'</w:t>
            </w:r>
          </w:p>
        </w:tc>
        <w:tc>
          <w:tcPr>
            <w:tcW w:w="1117" w:type="dxa"/>
            <w:tcBorders/>
          </w:tcPr>
          <w:p>
            <w:pPr>
              <w:pStyle w:val="T4dispositie"/>
              <w:rPr>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Bas Prestant</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tremolo</w:t>
      </w:r>
    </w:p>
    <w:p>
      <w:pPr>
        <w:pStyle w:val="T1"/>
        <w:jc w:val="start"/>
        <w:rPr>
          <w:lang w:val="nl-NL"/>
        </w:rPr>
      </w:pPr>
      <w:r>
        <w:rPr>
          <w:lang w:val="nl-NL"/>
        </w:rPr>
      </w:r>
    </w:p>
    <w:p>
      <w:pPr>
        <w:pStyle w:val="T1"/>
        <w:jc w:val="start"/>
        <w:rPr/>
      </w:pPr>
      <w:r>
        <w:rPr/>
        <w:t>Samenstelling vulstemmen</w:t>
      </w:r>
    </w:p>
    <w:tbl>
      <w:tblPr>
        <w:tblW w:w="2161" w:type="dxa"/>
        <w:jc w:val="start"/>
        <w:tblInd w:w="0" w:type="dxa"/>
        <w:tblLayout w:type="fixed"/>
        <w:tblCellMar>
          <w:top w:w="0" w:type="dxa"/>
          <w:start w:w="70" w:type="dxa"/>
          <w:bottom w:w="0" w:type="dxa"/>
          <w:end w:w="70" w:type="dxa"/>
        </w:tblCellMar>
      </w:tblPr>
      <w:tblGrid>
        <w:gridCol w:w="1023"/>
        <w:gridCol w:w="403"/>
        <w:gridCol w:w="375"/>
        <w:gridCol w:w="360"/>
      </w:tblGrid>
      <w:tr>
        <w:trPr/>
        <w:tc>
          <w:tcPr>
            <w:tcW w:w="1023" w:type="dxa"/>
            <w:tcBorders/>
          </w:tcPr>
          <w:p>
            <w:pPr>
              <w:pStyle w:val="T1"/>
              <w:jc w:val="start"/>
              <w:rPr>
                <w:lang w:val="fr-FR"/>
              </w:rPr>
            </w:pPr>
            <w:r>
              <w:rPr>
                <w:lang w:val="fr-FR"/>
              </w:rPr>
              <w:t>Mixtuur</w:t>
            </w:r>
          </w:p>
        </w:tc>
        <w:tc>
          <w:tcPr>
            <w:tcW w:w="403" w:type="dxa"/>
            <w:tcBorders/>
          </w:tcPr>
          <w:p>
            <w:pPr>
              <w:pStyle w:val="T4dispositie"/>
              <w:rPr/>
            </w:pPr>
            <w:r>
              <w:rPr/>
              <w:t>C</w:t>
            </w:r>
          </w:p>
          <w:p>
            <w:pPr>
              <w:pStyle w:val="T4dispositie"/>
              <w:rPr/>
            </w:pPr>
            <w:r>
              <w:rPr/>
              <w:t>9</w:t>
            </w:r>
          </w:p>
          <w:p>
            <w:pPr>
              <w:pStyle w:val="T4dispositie"/>
              <w:rPr/>
            </w:pPr>
            <w:r>
              <w:rPr/>
              <w:t>8</w:t>
            </w:r>
          </w:p>
          <w:p>
            <w:pPr>
              <w:pStyle w:val="T4dispositie"/>
              <w:rPr/>
            </w:pPr>
            <w:r>
              <w:rPr/>
              <w:t>7</w:t>
            </w:r>
          </w:p>
        </w:tc>
        <w:tc>
          <w:tcPr>
            <w:tcW w:w="375" w:type="dxa"/>
            <w:tcBorders/>
          </w:tcPr>
          <w:p>
            <w:pPr>
              <w:pStyle w:val="T4dispositie"/>
              <w:rPr>
                <w:lang w:val="fr-FR"/>
              </w:rPr>
            </w:pPr>
            <w:r>
              <w:rPr>
                <w:lang w:val="fr-FR"/>
              </w:rPr>
              <w:t>c</w:t>
            </w:r>
          </w:p>
          <w:p>
            <w:pPr>
              <w:pStyle w:val="T4dispositie"/>
              <w:rPr>
                <w:lang w:val="fr-FR"/>
              </w:rPr>
            </w:pPr>
            <w:r>
              <w:rPr>
                <w:lang w:val="fr-FR"/>
              </w:rPr>
              <w:t>9</w:t>
            </w:r>
          </w:p>
          <w:p>
            <w:pPr>
              <w:pStyle w:val="T4dispositie"/>
              <w:rPr>
                <w:lang w:val="fr-FR"/>
              </w:rPr>
            </w:pPr>
            <w:r>
              <w:rPr>
                <w:lang w:val="fr-FR"/>
              </w:rPr>
              <w:t>8</w:t>
            </w:r>
          </w:p>
          <w:p>
            <w:pPr>
              <w:pStyle w:val="T4dispositie"/>
              <w:rPr>
                <w:lang w:val="fr-FR"/>
              </w:rPr>
            </w:pPr>
            <w:r>
              <w:rPr>
                <w:lang w:val="fr-FR"/>
              </w:rPr>
              <w:t>7</w:t>
            </w:r>
          </w:p>
          <w:p>
            <w:pPr>
              <w:pStyle w:val="T4dispositie"/>
              <w:rPr>
                <w:lang w:val="fr-FR"/>
              </w:rPr>
            </w:pPr>
            <w:r>
              <w:rPr>
                <w:lang w:val="fr-FR"/>
              </w:rPr>
              <w:t>6</w:t>
            </w:r>
          </w:p>
        </w:tc>
        <w:tc>
          <w:tcPr>
            <w:tcW w:w="360" w:type="dxa"/>
            <w:tcBorders/>
          </w:tcPr>
          <w:p>
            <w:pPr>
              <w:pStyle w:val="T4dispositie"/>
              <w:snapToGrid w:val="false"/>
              <w:rPr>
                <w:lang w:val="fr-FR"/>
              </w:rPr>
            </w:pPr>
            <w:r>
              <w:rPr>
                <w:lang w:val="fr-FR"/>
              </w:rPr>
            </w:r>
          </w:p>
        </w:tc>
      </w:tr>
    </w:tbl>
    <w:p>
      <w:pPr>
        <w:pStyle w:val="T1"/>
        <w:jc w:val="start"/>
        <w:rPr>
          <w:lang w:val="fr-FR"/>
        </w:rPr>
      </w:pPr>
      <w:r>
        <w:rPr>
          <w:lang w:val="fr-FR"/>
        </w:rPr>
      </w:r>
    </w:p>
    <w:p>
      <w:pPr>
        <w:pStyle w:val="T1"/>
        <w:jc w:val="start"/>
        <w:rPr>
          <w:lang w:val="fr-FR"/>
        </w:rPr>
      </w:pPr>
      <w:r>
        <w:rPr>
          <w:lang w:val="fr-FR"/>
        </w:rPr>
        <w:t xml:space="preserve">Sesquialter    </w:t>
      </w:r>
      <w:r>
        <w:rPr>
          <w:sz w:val="20"/>
          <w:lang w:val="fr-FR"/>
        </w:rPr>
        <w:t>c</w:t>
      </w:r>
      <w:r>
        <w:rPr>
          <w:sz w:val="20"/>
          <w:vertAlign w:val="superscript"/>
          <w:lang w:val="fr-FR"/>
        </w:rPr>
        <w:t>1</w:t>
      </w:r>
      <w:r>
        <w:rPr>
          <w:sz w:val="20"/>
          <w:lang w:val="fr-FR"/>
        </w:rPr>
        <w:t xml:space="preserve">   2 2/3 - 1 3/5</w:t>
      </w:r>
    </w:p>
    <w:p>
      <w:pPr>
        <w:pStyle w:val="T1"/>
        <w:jc w:val="start"/>
        <w:rPr>
          <w:lang w:val="fr-FR"/>
        </w:rPr>
      </w:pPr>
      <w:r>
        <w:rPr>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r>
    </w:p>
    <w:p>
      <w:pPr>
        <w:pStyle w:val="T1"/>
        <w:jc w:val="start"/>
        <w:rPr>
          <w:lang w:val="nl-NL"/>
        </w:rPr>
      </w:pPr>
      <w:r>
        <w:rPr>
          <w:lang w:val="nl-NL"/>
        </w:rPr>
        <w:t>Winddruk</w:t>
      </w:r>
    </w:p>
    <w:p>
      <w:pPr>
        <w:pStyle w:val="T1"/>
        <w:jc w:val="start"/>
        <w:rPr>
          <w:lang w:val="nl-NL"/>
        </w:rPr>
      </w:pPr>
      <w:r>
        <w:rPr>
          <w:lang w:val="nl-NL"/>
        </w:rPr>
        <w:t xml:space="preserve"> </w:t>
      </w:r>
      <w:r>
        <w:rPr>
          <w:lang w:val="nl-NL"/>
        </w:rPr>
        <w:t>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Het instrument dat achter dit front staat is in 1937 geplaatst door J. de Koff &amp; Zn. Het betreft een orgel met mechanische tractuur dat aan de orgelmakers Naber wordt toegeschreven. Op enig moment is de dispositie van het instrument gewijzigd. Daarbij is de Bourdon 16' van het Manuaal door middel van een transmissie ook in het Ped bespeelbaar gemaakt. In 1969 is het orgel door M.K. Koppejan gerestaureerd. Bij die gelegenheid zijn de laden van telescoophulzen voorzien.</w:t>
      </w:r>
    </w:p>
    <w:p>
      <w:pPr>
        <w:pStyle w:val="T1"/>
        <w:jc w:val="start"/>
        <w:rPr>
          <w:lang w:val="nl-NL"/>
        </w:rPr>
      </w:pPr>
      <w:r>
        <w:rPr>
          <w:lang w:val="nl-NL"/>
        </w:rPr>
        <w:t>De registertrekkers van het Manuaal zijn in een horizontale rij boven de lessenaarbak aangebracht. De beide knoppen voor het Ped bevinden zich links van het klavier; de tremulant rechts. De pedaalkoppel is uitgevoerd als trede.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2010-03-16T18:02:00Z</dcterms:created>
  <dc:creator>WS1</dc:creator>
  <dc:description/>
  <dc:language>en-US</dc:language>
  <cp:lastModifiedBy>NIvO</cp:lastModifiedBy>
  <dcterms:modified xsi:type="dcterms:W3CDTF">2010-03-16T18:04:00Z</dcterms:modified>
  <cp:revision>3</cp:revision>
  <dc:subject/>
  <dc:title>Niekerk (Hunsingo) / 1883</dc:title>
</cp:coreProperties>
</file>