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clear" w:pos="708"/>
          <w:tab w:val="left" w:pos="0" w:leader="none"/>
        </w:tabs>
        <w:spacing w:before="240" w:after="60"/>
        <w:ind w:start="0" w:end="0" w:hanging="0"/>
        <w:rPr/>
      </w:pPr>
      <w:r>
        <w:rPr/>
        <w:t>Lutjegast / 1911</w:t>
      </w:r>
    </w:p>
    <w:p>
      <w:pPr>
        <w:pStyle w:val="Heading2"/>
        <w:tabs>
          <w:tab w:val="clear" w:pos="708"/>
          <w:tab w:val="left" w:pos="0" w:leader="none"/>
        </w:tabs>
        <w:ind w:start="0" w:end="0" w:hanging="0"/>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Kerk en interieur uit 1877, waarin aanvankelijk het orgel van G.P. Dik (1842, met oudere delen) uit de vorige kerk stond opgesteld.</w:t>
      </w:r>
    </w:p>
    <w:p>
      <w:pPr>
        <w:pStyle w:val="T1"/>
        <w:jc w:val="start"/>
        <w:rPr>
          <w:i/>
          <w:i/>
          <w:iCs/>
          <w:lang w:val="nl-NL"/>
        </w:rPr>
      </w:pPr>
      <w:r>
        <w:rPr>
          <w:i/>
          <w:iCs/>
          <w:lang w:val="nl-NL"/>
        </w:rPr>
      </w:r>
    </w:p>
    <w:p>
      <w:pPr>
        <w:pStyle w:val="T1"/>
        <w:jc w:val="start"/>
        <w:rPr>
          <w:lang w:val="nl-NL"/>
        </w:rPr>
      </w:pPr>
      <w:r>
        <w:rPr>
          <w:lang w:val="nl-NL"/>
        </w:rPr>
        <w:t>Kas: 1911</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Kunsthistorische aspecten</w:t>
      </w:r>
    </w:p>
    <w:p>
      <w:pPr>
        <w:pStyle w:val="T2Kunst"/>
        <w:jc w:val="start"/>
        <w:rPr>
          <w:lang w:val="nl-NL"/>
        </w:rPr>
      </w:pPr>
      <w:r>
        <w:rPr>
          <w:lang w:val="nl-NL"/>
        </w:rPr>
        <w:t>Antonius van Oeckelen ontwierp hier als het ware een mélange van de fronten in Westerbroek (Hervormde Kerk, 1904) en Ter Apel (Kloosterkerk, 1905). Deze beide ontwerpen hadden hun oorsprong in het orgelfront van de Hervormde Kerk te Kloosterburen (1898, deel 1894-1901, 212-213), dat was geïnspireerd door het werk van Arp Schnitger en diens navolger Matthias Amoor. Van het front in Westerbroek werden de trapeziumvormige middentoren, de spitse zijtorens en een belangrijk deel van de ornamentiek (torenbekroningen en vleugelstukken) overgenomen. Uit het ontwerp van Ter Apel stammen de V-vormige labiumlijnen in de torens en de Schnitgeriaanse indeling van de gedeelde tussenvelden, die samen met de zijtorens aan de bovenzijde worden afgesloten door een doorlopende lijst. Afwijkend zijn in Lutjegast de labiumlijnen van de tussenvelden (van buiten naar binnen oplopend in de onderste tussenvelden en aflopend in de bovenste), en het snijwerk boven de tussenvelden dat hier visueel het hoogteverschil tussen zijtorens en middentoren sterker overbrugt dan in Kloosterburen en Ter Apel het geval is.</w:t>
      </w:r>
    </w:p>
    <w:p>
      <w:pPr>
        <w:pStyle w:val="T2Kunst"/>
        <w:jc w:val="start"/>
        <w:rPr>
          <w:lang w:val="nl-NL"/>
        </w:rPr>
      </w:pPr>
      <w:r>
        <w:rPr>
          <w:lang w:val="nl-NL"/>
        </w:rPr>
        <w:t>De onderbouw in Lutjegast toont dorische zuiltjes die panelen, met daarin ruitvormig lijstwerk, omkaderen. Onder de middentoren is een plaquette aangebracht met de namen van de schenkers van het orgel: het echtpaar Bronsema.</w:t>
      </w:r>
    </w:p>
    <w:p>
      <w:pPr>
        <w:pStyle w:val="T2Kunst"/>
        <w:jc w:val="start"/>
        <w:rPr>
          <w:lang w:val="nl-NL"/>
        </w:rPr>
      </w:pPr>
      <w:r>
        <w:rPr>
          <w:lang w:val="nl-NL"/>
        </w:rPr>
        <w:t>Alle frontpijpen zijn loos. Van Oeckelen paste dit principe eerder toe in de Remonstrantse Kerk te Groningen (1885), maar hier om bouwtechnische redenen (er was een loopgalerij direct achter het front; het eigenlijke orgel staat daarachter opgesteld). Dit front is in 1967 verwijderd, het orgel zelf bleef bewaard. Ook het inmiddels verdwenen Van Oeckelen-orgel (1914) in de Baptistenkerk te Groningen was oorspronkelijk van een loos front voorzien.</w:t>
      </w:r>
    </w:p>
    <w:p>
      <w:pPr>
        <w:pStyle w:val="T3Lit"/>
        <w:jc w:val="start"/>
        <w:rPr>
          <w:lang w:val="nl-NL"/>
        </w:rPr>
      </w:pPr>
      <w:r>
        <w:rPr>
          <w:lang w:val="nl-NL"/>
        </w:rPr>
      </w:r>
    </w:p>
    <w:p>
      <w:pPr>
        <w:pStyle w:val="T3Lit"/>
        <w:jc w:val="start"/>
        <w:rPr>
          <w:b/>
          <w:b/>
          <w:bCs/>
          <w:lang w:val="nl-NL"/>
        </w:rPr>
      </w:pPr>
      <w:r>
        <w:rPr>
          <w:b/>
          <w:bCs/>
          <w:lang w:val="nl-NL"/>
        </w:rPr>
        <w:t>Literatuur</w:t>
      </w:r>
    </w:p>
    <w:p>
      <w:pPr>
        <w:pStyle w:val="T3Lit"/>
        <w:jc w:val="start"/>
        <w:rPr/>
      </w:pPr>
      <w:r>
        <w:rPr>
          <w:i/>
          <w:iCs/>
          <w:lang w:val="nl-NL"/>
        </w:rPr>
        <w:t>Het Groninger Orgelbezit van Adorp tot Zijldijk. 2 Westerkwartier</w:t>
      </w:r>
      <w:r>
        <w:rPr>
          <w:lang w:val="nl-NL"/>
        </w:rPr>
        <w:t>, Groningen (1995), 110-111.</w:t>
      </w:r>
    </w:p>
    <w:p>
      <w:pPr>
        <w:pStyle w:val="T3Lit"/>
        <w:jc w:val="start"/>
        <w:rPr/>
      </w:pPr>
      <w:r>
        <w:rPr>
          <w:i/>
          <w:iCs/>
          <w:lang w:val="nl-NL"/>
        </w:rPr>
        <w:t xml:space="preserve">De Mixtuur, </w:t>
      </w:r>
      <w:r>
        <w:rPr>
          <w:lang w:val="nl-NL"/>
        </w:rPr>
        <w:t>57 (juni 1987),</w:t>
      </w:r>
      <w:r>
        <w:rPr>
          <w:i/>
          <w:iCs/>
          <w:lang w:val="nl-NL"/>
        </w:rPr>
        <w:t xml:space="preserve"> </w:t>
      </w:r>
      <w:r>
        <w:rPr>
          <w:lang w:val="nl-NL"/>
        </w:rPr>
        <w:t>321.</w:t>
      </w:r>
    </w:p>
    <w:p>
      <w:pPr>
        <w:pStyle w:val="T3Lit"/>
        <w:jc w:val="start"/>
        <w:rPr/>
      </w:pPr>
      <w:r>
        <w:rPr>
          <w:i/>
          <w:iCs/>
          <w:lang w:val="nl-NL"/>
        </w:rPr>
        <w:t xml:space="preserve">Het Orgel, </w:t>
      </w:r>
      <w:r>
        <w:rPr>
          <w:lang w:val="nl-NL"/>
        </w:rPr>
        <w:t>83/6 (1987),</w:t>
      </w:r>
      <w:r>
        <w:rPr>
          <w:i/>
          <w:iCs/>
          <w:lang w:val="nl-NL"/>
        </w:rPr>
        <w:t xml:space="preserve"> </w:t>
      </w:r>
      <w:r>
        <w:rPr>
          <w:lang w:val="nl-NL"/>
        </w:rPr>
        <w:t>235.</w:t>
      </w:r>
    </w:p>
    <w:p>
      <w:pPr>
        <w:pStyle w:val="T3Lit"/>
        <w:jc w:val="start"/>
        <w:rPr/>
      </w:pPr>
      <w:r>
        <w:rPr>
          <w:lang w:val="nl-NL"/>
        </w:rPr>
        <w:t xml:space="preserve">Victor Timmer, Andere activiteiten van de orgelmakers Van Oeckelen in het Zuidelijk Westerkwartier. </w:t>
      </w:r>
      <w:r>
        <w:rPr>
          <w:i/>
          <w:iCs/>
          <w:lang w:val="nl-NL"/>
        </w:rPr>
        <w:t>Publicatie van de Stichting tot behoud van het Nederlandse Orgel</w:t>
      </w:r>
      <w:r>
        <w:rPr>
          <w:lang w:val="nl-NL"/>
        </w:rPr>
        <w:t xml:space="preserve"> 55 (juli 2001), 15-17.</w:t>
      </w:r>
    </w:p>
    <w:p>
      <w:pPr>
        <w:pStyle w:val="T3Lit"/>
        <w:jc w:val="start"/>
        <w:rPr>
          <w:lang w:val="nl-NL"/>
        </w:rPr>
      </w:pPr>
      <w:r>
        <w:rPr>
          <w:lang w:val="nl-NL"/>
        </w:rPr>
      </w:r>
    </w:p>
    <w:p>
      <w:pPr>
        <w:pStyle w:val="T3Lit"/>
        <w:jc w:val="start"/>
        <w:rPr>
          <w:b/>
          <w:b/>
          <w:bCs/>
          <w:lang w:val="nl-NL"/>
        </w:rPr>
      </w:pPr>
      <w:r>
        <w:rPr>
          <w:b/>
          <w:bCs/>
          <w:lang w:val="nl-NL"/>
        </w:rPr>
        <w:t>Niet gepubliceerde bronnen</w:t>
      </w:r>
    </w:p>
    <w:p>
      <w:pPr>
        <w:pStyle w:val="T3Lit"/>
        <w:jc w:val="start"/>
        <w:rPr>
          <w:lang w:val="nl-NL"/>
        </w:rPr>
      </w:pPr>
      <w:r>
        <w:rPr>
          <w:lang w:val="nl-NL"/>
        </w:rPr>
        <w:t>Archief Pels &amp; Van Leeuwen.</w:t>
      </w:r>
    </w:p>
    <w:p>
      <w:pPr>
        <w:pStyle w:val="T3Lit"/>
        <w:jc w:val="start"/>
        <w:rPr>
          <w:lang w:val="nl-NL"/>
        </w:rPr>
      </w:pPr>
      <w:r>
        <w:rPr>
          <w:lang w:val="nl-NL"/>
        </w:rPr>
        <w:t>Orgelarchief Peter van Dijk.</w:t>
      </w:r>
    </w:p>
    <w:p>
      <w:pPr>
        <w:pStyle w:val="T3Lit"/>
        <w:jc w:val="start"/>
        <w:rPr>
          <w:lang w:val="nl-NL"/>
        </w:rPr>
      </w:pPr>
      <w:r>
        <w:rPr>
          <w:lang w:val="nl-NL"/>
        </w:rPr>
      </w:r>
    </w:p>
    <w:p>
      <w:pPr>
        <w:pStyle w:val="T3Lit"/>
        <w:jc w:val="start"/>
        <w:rPr>
          <w:lang w:val="nl-NL"/>
        </w:rPr>
      </w:pPr>
      <w:r>
        <w:rPr>
          <w:lang w:val="nl-NL"/>
        </w:rPr>
        <w:t>Orgelnummer 907</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Gebr. van Oeckelen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1911</w:t>
      </w:r>
    </w:p>
    <w:p>
      <w:pPr>
        <w:pStyle w:val="T1"/>
        <w:jc w:val="start"/>
        <w:rPr>
          <w:lang w:val="nl-NL"/>
        </w:rPr>
      </w:pPr>
      <w:r>
        <w:rPr>
          <w:lang w:val="nl-NL"/>
        </w:rPr>
      </w:r>
    </w:p>
    <w:p>
      <w:pPr>
        <w:pStyle w:val="T1"/>
        <w:jc w:val="start"/>
        <w:rPr>
          <w:lang w:val="nl-NL"/>
        </w:rPr>
      </w:pPr>
      <w:r>
        <w:rPr>
          <w:lang w:val="nl-NL"/>
        </w:rPr>
        <w:t>Holtman &amp; Leemhuis 1944</w:t>
      </w:r>
    </w:p>
    <w:p>
      <w:pPr>
        <w:pStyle w:val="T1"/>
        <w:numPr>
          <w:ilvl w:val="0"/>
          <w:numId w:val="2"/>
        </w:numPr>
        <w:jc w:val="start"/>
        <w:rPr>
          <w:lang w:val="nl-NL"/>
        </w:rPr>
      </w:pPr>
      <w:r>
        <w:rPr>
          <w:lang w:val="nl-NL"/>
        </w:rPr>
        <w:t>herstel en plaatsing ventilator</w:t>
      </w:r>
    </w:p>
    <w:p>
      <w:pPr>
        <w:pStyle w:val="T1"/>
        <w:jc w:val="start"/>
        <w:rPr>
          <w:lang w:val="nl-NL"/>
        </w:rPr>
      </w:pPr>
      <w:r>
        <w:rPr>
          <w:lang w:val="nl-NL"/>
        </w:rPr>
      </w:r>
    </w:p>
    <w:p>
      <w:pPr>
        <w:pStyle w:val="T1"/>
        <w:jc w:val="start"/>
        <w:rPr>
          <w:lang w:val="nl-NL"/>
        </w:rPr>
      </w:pPr>
      <w:r>
        <w:rPr>
          <w:lang w:val="nl-NL"/>
        </w:rPr>
        <w:t>Pels &amp; Van Leeuwen 1985</w:t>
      </w:r>
    </w:p>
    <w:p>
      <w:pPr>
        <w:pStyle w:val="T1"/>
        <w:numPr>
          <w:ilvl w:val="0"/>
          <w:numId w:val="2"/>
        </w:numPr>
        <w:jc w:val="start"/>
        <w:rPr>
          <w:lang w:val="nl-NL"/>
        </w:rPr>
      </w:pPr>
      <w:r>
        <w:rPr>
          <w:lang w:val="nl-NL"/>
        </w:rPr>
        <w:t>restauratie</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08" w:type="dxa"/>
        <w:jc w:val="start"/>
        <w:tblInd w:w="-70" w:type="dxa"/>
        <w:tblLayout w:type="fixed"/>
        <w:tblCellMar>
          <w:top w:w="0" w:type="dxa"/>
          <w:start w:w="70" w:type="dxa"/>
          <w:bottom w:w="0" w:type="dxa"/>
          <w:end w:w="70" w:type="dxa"/>
        </w:tblCellMar>
      </w:tblPr>
      <w:tblGrid>
        <w:gridCol w:w="1471"/>
        <w:gridCol w:w="837"/>
      </w:tblGrid>
      <w:tr>
        <w:trPr/>
        <w:tc>
          <w:tcPr>
            <w:tcW w:w="1471" w:type="dxa"/>
            <w:tcBorders/>
          </w:tcPr>
          <w:p>
            <w:pPr>
              <w:pStyle w:val="T4dispositie"/>
              <w:snapToGrid w:val="false"/>
              <w:jc w:val="start"/>
              <w:rPr>
                <w:i/>
                <w:i/>
                <w:iCs/>
                <w:lang w:val="nl-NL"/>
              </w:rPr>
            </w:pPr>
            <w:r>
              <w:rPr>
                <w:i/>
                <w:iCs/>
                <w:lang w:val="nl-NL"/>
              </w:rPr>
              <w:t>Manuaal</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Óctaaf</w:t>
            </w:r>
          </w:p>
        </w:tc>
        <w:tc>
          <w:tcPr>
            <w:tcW w:w="83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windlosser</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C-a</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(1911)</w:t>
      </w:r>
    </w:p>
    <w:p>
      <w:pPr>
        <w:pStyle w:val="T1"/>
        <w:jc w:val="start"/>
        <w:rPr>
          <w:lang w:val="nl-NL"/>
        </w:rPr>
      </w:pPr>
      <w:r>
        <w:rPr>
          <w:lang w:val="nl-NL"/>
        </w:rPr>
        <w:t>Winddruk</w:t>
      </w:r>
    </w:p>
    <w:p>
      <w:pPr>
        <w:pStyle w:val="T1"/>
        <w:jc w:val="start"/>
        <w:rPr>
          <w:lang w:val="nl-NL"/>
        </w:rPr>
      </w:pPr>
      <w:r>
        <w:rPr>
          <w:lang w:val="nl-NL"/>
        </w:rPr>
        <w:t>85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Het front bevat uitsluitend loze pijpen, die geen kern hebben.</w:t>
      </w:r>
    </w:p>
    <w:p>
      <w:pPr>
        <w:pStyle w:val="T1"/>
        <w:jc w:val="start"/>
        <w:rPr>
          <w:lang w:val="nl-NL"/>
        </w:rPr>
      </w:pPr>
      <w:r>
        <w:rPr>
          <w:lang w:val="nl-NL"/>
        </w:rPr>
        <w:t>De registertrekkers zijn in een horizontale rij boven de muzieklessenaar aangebracht. Het registerplaatje voor de Fluit 4' is op enig moment verdwenen en naderhand vervangen door een plaatje met het opschrift Flûte harmonique 8'.</w:t>
      </w:r>
    </w:p>
    <w:p>
      <w:pPr>
        <w:pStyle w:val="T1"/>
        <w:jc w:val="start"/>
        <w:rPr>
          <w:lang w:val="nl-NL"/>
        </w:rPr>
      </w:pPr>
      <w:r>
        <w:rPr>
          <w:lang w:val="nl-NL"/>
        </w:rPr>
        <w:t>Het pijpwerk is op een in hele tonen ingedeelde lade geplaatst en loopt in grootte vanuit het midden naar de zijkanten af.</w:t>
      </w:r>
    </w:p>
    <w:p>
      <w:pPr>
        <w:pStyle w:val="T1"/>
        <w:jc w:val="start"/>
        <w:rPr>
          <w:lang w:val="nl-NL"/>
        </w:rPr>
      </w:pPr>
      <w:r>
        <w:rPr>
          <w:lang w:val="nl-NL"/>
        </w:rPr>
        <w:t>De Prestant 8' is van C-H gecombineerd met de Holpijp 8'. C-H van de Holpijp 8' zijn van hout, het vervolg is van metaal. De Viola di Gamba 8' is van C-H gedekt (hout), het vervolg is open (metaal). Van de Fluit 4' zijn C-H gedekt (hout), het vervolg is open, cilindrisch.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Standaardalinealettertype">
    <w:name w:val="WW-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Lucida Sans Unicode" w:cs="Tahoma"/>
      <w:sz w:val="28"/>
      <w:szCs w:val="28"/>
    </w:rPr>
  </w:style>
  <w:style w:type="paragraph" w:styleId="Bijschrift">
    <w:name w:val="Bijschrift"/>
    <w:basedOn w:val="Normal"/>
    <w:qFormat/>
    <w:pPr>
      <w:suppressLineNumbers/>
      <w:spacing w:before="120" w:after="120"/>
    </w:pPr>
    <w:rPr>
      <w:rFonts w:cs="Tahoma"/>
      <w:i/>
      <w:iCs/>
      <w:sz w:val="24"/>
      <w:szCs w:val="24"/>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Inhoudtabel">
    <w:name w:val="Inhoud tabel"/>
    <w:basedOn w:val="Normal"/>
    <w:qFormat/>
    <w:pPr>
      <w:suppressLineNumbers/>
    </w:pPr>
    <w:rPr/>
  </w:style>
  <w:style w:type="paragraph" w:styleId="Tabelkop">
    <w:name w:val="Tabelkop"/>
    <w:basedOn w:val="Inhoudtabel"/>
    <w:qFormat/>
    <w:pPr>
      <w:suppressLineNumbers/>
      <w:jc w:val="center"/>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2010-03-18T22:12:00Z</dcterms:created>
  <dc:creator>WS1</dc:creator>
  <dc:description/>
  <dc:language>en-US</dc:language>
  <cp:lastModifiedBy>NIvO</cp:lastModifiedBy>
  <dcterms:modified xsi:type="dcterms:W3CDTF">2010-03-23T11:53:00Z</dcterms:modified>
  <cp:revision>3</cp:revision>
  <dc:subject/>
  <dc:title>Heumen / ca 1860</dc:title>
</cp:coreProperties>
</file>