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Panningen / 1912</w:t>
      </w:r>
    </w:p>
    <w:p>
      <w:pPr>
        <w:pStyle w:val="Heading2"/>
        <w:rPr>
          <w:i w:val="false"/>
          <w:i w:val="false"/>
          <w:iCs/>
        </w:rPr>
      </w:pPr>
      <w:r>
        <w:rPr>
          <w:i w:val="false"/>
          <w:iCs/>
        </w:rPr>
        <w:t>Kapel Missiehuis St-Jozef</w:t>
      </w:r>
    </w:p>
    <w:p>
      <w:pPr>
        <w:pStyle w:val="T1"/>
        <w:jc w:val="start"/>
        <w:rPr>
          <w:i/>
          <w:i/>
          <w:iCs/>
          <w:lang w:val="nl-NL"/>
        </w:rPr>
      </w:pPr>
      <w:r>
        <w:rPr>
          <w:i/>
          <w:iCs/>
          <w:lang w:val="nl-NL"/>
        </w:rPr>
      </w:r>
    </w:p>
    <w:p>
      <w:pPr>
        <w:pStyle w:val="T1"/>
        <w:jc w:val="start"/>
        <w:rPr>
          <w:i/>
          <w:i/>
          <w:iCs/>
          <w:lang w:val="nl-NL"/>
        </w:rPr>
      </w:pPr>
      <w:r>
        <w:rPr>
          <w:i/>
          <w:iCs/>
          <w:lang w:val="nl-NL"/>
        </w:rPr>
        <w:t>Kloostercomplex in aanleg gebouwd in 1878 naar plannen van M. Peters. Aanvankelijk in gebruik als zusterklooster. In 1903 werd het naar de plannen van C.J.H. Franssen verbouwd tot missieklooster voor de paters Lazaristen; daarbij werd de voorgevel verbreed. Henri Seelen ontwierp de in 1907-1913 gebouwde linker dwarsvleugel met kapel.</w:t>
      </w:r>
    </w:p>
    <w:p>
      <w:pPr>
        <w:pStyle w:val="T1"/>
        <w:jc w:val="start"/>
        <w:rPr>
          <w:lang w:val="nl-NL"/>
        </w:rPr>
      </w:pPr>
      <w:r>
        <w:rPr>
          <w:i/>
          <w:iCs/>
          <w:lang w:val="nl-NL"/>
        </w:rPr>
        <w:t>Naast de architectonische opzet verwijzen ook diverse elementen in het interieur en de inventaris naar de Franse herkomst (en doelstellingen) van de Lazaristen, waaronder de iconografie van de gebrandschilderde glas-in-lood vensters, afkomstig uit het atelier van Nicolas in Roermond.</w:t>
      </w:r>
    </w:p>
    <w:p>
      <w:pPr>
        <w:pStyle w:val="T1"/>
        <w:jc w:val="start"/>
        <w:rPr>
          <w:lang w:val="nl-NL"/>
        </w:rPr>
      </w:pPr>
      <w:r>
        <w:rPr>
          <w:lang w:val="nl-NL"/>
        </w:rPr>
      </w:r>
    </w:p>
    <w:p>
      <w:pPr>
        <w:pStyle w:val="T1"/>
        <w:jc w:val="start"/>
        <w:rPr>
          <w:lang w:val="nl-NL"/>
        </w:rPr>
      </w:pPr>
      <w:r>
        <w:rPr>
          <w:lang w:val="nl-NL"/>
        </w:rPr>
        <w:t>Kas: 1912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torens van deze kas zijn relatief smal met elk slechts vier pijpen. De pijpvelden zijn hoger aangezet, aanmerkelijk breder en gevat in spitsbogen. Er zijn geen blinderen aan de voeten. Slechts bij de torens zien we aan de pijpuiteinden kleine draperieën. De middenstijl wordt gevormd door gekoppelde kolommen met bladkapitelen. Aan weerzijden van de velden zijn kolommen in de vorm van halfzuilen tegen de rechthoekige stijlen geplaatst. In de bovenlijst zijn visblazen aangebracht. In de zwikken, uitgevoerd als sferische driehoeken, bevinden zich toten. Palmetten zijn aanwezig op de torens, en in kleinere uitvoering tussen de spitsbogen van de bekronende tootlijst. Onder de torens zien we nog briefpanelen.</w:t>
      </w:r>
    </w:p>
    <w:p>
      <w:pPr>
        <w:pStyle w:val="T2Kunst"/>
        <w:jc w:val="start"/>
        <w:rPr>
          <w:lang w:val="nl-NL"/>
        </w:rPr>
      </w:pPr>
      <w:r>
        <w:rPr>
          <w:lang w:val="nl-NL"/>
        </w:rPr>
        <w:t>Doordat de rechte bovenlijst slechts in geringe mate verspringt, ontstaat het idee van een blokvorm. Daardoor lijkt het ontwerp meer geënt op het neoclassicisme, terwijl de ornamentiek grotendeels georiënteerd is op de gotiek. Deze gemengde indruk, die overigens typerend is voor veel 19e-eeuwse fronten, wordt versterkt door nog twee facetten: wellicht vanwege de ontbrekende hoogte zijn de voor de gotiek karakteristieke wimbergen niet en pinakels slechts in rudimentaire vorm aanwezig. Bovendien zijn in het paneel onder de velden de spitsboogmotieven als een soort renaissancistische godrons behandeld.</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Jan Jongepier, ‘Verschueren herstelde onbekend orgel van Mutin’. </w:t>
      </w:r>
      <w:r>
        <w:rPr>
          <w:i/>
          <w:iCs/>
          <w:lang w:val="nl-NL"/>
        </w:rPr>
        <w:t>Het Orgel</w:t>
      </w:r>
      <w:r>
        <w:rPr>
          <w:lang w:val="nl-NL"/>
        </w:rPr>
        <w:t>, 86/7-8 (1990), 341-344.</w:t>
      </w:r>
    </w:p>
    <w:p>
      <w:pPr>
        <w:pStyle w:val="T3Lit"/>
        <w:rPr>
          <w:lang w:val="nl-NL"/>
        </w:rPr>
      </w:pPr>
      <w:r>
        <w:rPr>
          <w:lang w:val="nl-NL"/>
        </w:rPr>
      </w:r>
    </w:p>
    <w:p>
      <w:pPr>
        <w:pStyle w:val="T3Lit"/>
        <w:rPr>
          <w:lang w:val="nl-NL"/>
        </w:rPr>
      </w:pPr>
      <w:r>
        <w:rPr>
          <w:lang w:val="nl-NL"/>
        </w:rPr>
        <w:t>Monumentnummer 525610</w:t>
      </w:r>
    </w:p>
    <w:p>
      <w:pPr>
        <w:pStyle w:val="T3Lit"/>
        <w:rPr>
          <w:lang w:val="nl-NL"/>
        </w:rPr>
      </w:pPr>
      <w:r>
        <w:rPr>
          <w:lang w:val="nl-NL"/>
        </w:rPr>
        <w:t>Orgelnummer 1221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Ch. Mutin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1912</w:t>
      </w:r>
    </w:p>
    <w:p>
      <w:pPr>
        <w:pStyle w:val="T1"/>
        <w:jc w:val="start"/>
        <w:rPr>
          <w:lang w:val="nl-NL"/>
        </w:rPr>
      </w:pPr>
      <w:r>
        <w:rPr>
          <w:lang w:val="nl-NL"/>
        </w:rPr>
      </w:r>
    </w:p>
    <w:p>
      <w:pPr>
        <w:pStyle w:val="T1"/>
        <w:jc w:val="start"/>
        <w:rPr>
          <w:lang w:val="nl-NL"/>
        </w:rPr>
      </w:pPr>
      <w:r>
        <w:rPr>
          <w:lang w:val="nl-NL"/>
        </w:rPr>
        <w:t>Verschueren Orgelbouw 1988</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récit expressif, pédale</w:t>
      </w:r>
    </w:p>
    <w:p>
      <w:pPr>
        <w:pStyle w:val="T1"/>
        <w:jc w:val="start"/>
        <w:rPr>
          <w:lang w:val="nl-NL"/>
        </w:rPr>
      </w:pPr>
      <w:r>
        <w:rPr>
          <w:lang w:val="nl-NL"/>
        </w:rPr>
      </w:r>
    </w:p>
    <w:p>
      <w:pPr>
        <w:pStyle w:val="T1"/>
        <w:jc w:val="start"/>
        <w:rPr/>
      </w:pPr>
      <w:r>
        <w:rPr/>
        <w:t>Dispositie</w:t>
      </w:r>
    </w:p>
    <w:tbl>
      <w:tblPr>
        <w:tblW w:w="7733" w:type="dxa"/>
        <w:jc w:val="start"/>
        <w:tblInd w:w="-70" w:type="dxa"/>
        <w:tblLayout w:type="fixed"/>
        <w:tblCellMar>
          <w:top w:w="0" w:type="dxa"/>
          <w:start w:w="70" w:type="dxa"/>
          <w:bottom w:w="0" w:type="dxa"/>
          <w:end w:w="70" w:type="dxa"/>
        </w:tblCellMar>
      </w:tblPr>
      <w:tblGrid>
        <w:gridCol w:w="1951"/>
        <w:gridCol w:w="480"/>
        <w:gridCol w:w="2446"/>
        <w:gridCol w:w="718"/>
        <w:gridCol w:w="1460"/>
        <w:gridCol w:w="678"/>
      </w:tblGrid>
      <w:tr>
        <w:trPr/>
        <w:tc>
          <w:tcPr>
            <w:tcW w:w="1951" w:type="dxa"/>
            <w:tcBorders/>
          </w:tcPr>
          <w:p>
            <w:pPr>
              <w:pStyle w:val="T4dispositie"/>
              <w:rPr>
                <w:i/>
                <w:i/>
                <w:iCs/>
                <w:lang w:val="nl-NL"/>
              </w:rPr>
            </w:pPr>
            <w:r>
              <w:rPr>
                <w:i/>
                <w:iCs/>
                <w:lang w:val="nl-NL"/>
              </w:rPr>
              <w:t>Grand Orgue (I)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Montre</w:t>
            </w:r>
          </w:p>
          <w:p>
            <w:pPr>
              <w:pStyle w:val="T4dispositie"/>
              <w:rPr>
                <w:lang w:val="nl-NL"/>
              </w:rPr>
            </w:pPr>
            <w:r>
              <w:rPr>
                <w:lang w:val="nl-NL"/>
              </w:rPr>
              <w:t>Flûte Harmonique</w:t>
            </w:r>
          </w:p>
          <w:p>
            <w:pPr>
              <w:pStyle w:val="T4dispositie"/>
              <w:rPr>
                <w:lang w:val="nl-NL"/>
              </w:rPr>
            </w:pPr>
            <w:r>
              <w:rPr>
                <w:lang w:val="nl-NL"/>
              </w:rPr>
              <w:t>Prestant</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2446" w:type="dxa"/>
            <w:tcBorders/>
          </w:tcPr>
          <w:p>
            <w:pPr>
              <w:pStyle w:val="T4dispositie"/>
              <w:rPr>
                <w:i/>
                <w:i/>
                <w:iCs/>
                <w:lang w:val="nl-NL"/>
              </w:rPr>
            </w:pPr>
            <w:r>
              <w:rPr>
                <w:i/>
                <w:iCs/>
                <w:lang w:val="nl-NL"/>
              </w:rPr>
              <w:t>Récit Expressif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Cor de Nuit</w:t>
            </w:r>
          </w:p>
          <w:p>
            <w:pPr>
              <w:pStyle w:val="T4dispositie"/>
              <w:rPr>
                <w:lang w:val="nl-NL"/>
              </w:rPr>
            </w:pPr>
            <w:r>
              <w:rPr>
                <w:lang w:val="nl-NL"/>
              </w:rPr>
              <w:t>Viole de Gambe</w:t>
            </w:r>
          </w:p>
          <w:p>
            <w:pPr>
              <w:pStyle w:val="T4dispositie"/>
              <w:rPr>
                <w:lang w:val="nl-NL"/>
              </w:rPr>
            </w:pPr>
            <w:r>
              <w:rPr>
                <w:lang w:val="nl-NL"/>
              </w:rPr>
              <w:t>Voix Céleste</w:t>
            </w:r>
          </w:p>
          <w:p>
            <w:pPr>
              <w:pStyle w:val="T4dispositie"/>
              <w:rPr>
                <w:lang w:val="nl-NL"/>
              </w:rPr>
            </w:pPr>
            <w:r>
              <w:rPr>
                <w:lang w:val="nl-NL"/>
              </w:rPr>
              <w:t>Flûte Octaviante</w:t>
            </w:r>
          </w:p>
          <w:p>
            <w:pPr>
              <w:pStyle w:val="T4dispositie"/>
              <w:rPr>
                <w:lang w:val="nl-NL"/>
              </w:rPr>
            </w:pPr>
            <w:r>
              <w:rPr>
                <w:lang w:val="nl-NL"/>
              </w:rPr>
              <w:t>Trompette</w:t>
            </w:r>
          </w:p>
          <w:p>
            <w:pPr>
              <w:pStyle w:val="T4dispositie"/>
              <w:rPr>
                <w:lang w:val="nl-NL"/>
              </w:rPr>
            </w:pPr>
            <w:r>
              <w:rPr>
                <w:lang w:val="nl-NL"/>
              </w:rPr>
              <w:t>Basson-Hautbois</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p>
            <w:pPr>
              <w:pStyle w:val="T4dispositie"/>
              <w:rPr>
                <w:lang w:val="nl-NL"/>
              </w:rPr>
            </w:pPr>
            <w:r>
              <w:rPr>
                <w:lang w:val="nl-NL"/>
              </w:rPr>
              <w:t>8'</w:t>
            </w:r>
          </w:p>
        </w:tc>
        <w:tc>
          <w:tcPr>
            <w:tcW w:w="1460" w:type="dxa"/>
            <w:tcBorders/>
          </w:tcPr>
          <w:p>
            <w:pPr>
              <w:pStyle w:val="T4dispositie"/>
              <w:rPr>
                <w:i/>
                <w:i/>
                <w:iCs/>
                <w:lang w:val="nl-NL"/>
              </w:rPr>
            </w:pPr>
            <w:r>
              <w:rPr>
                <w:i/>
                <w:iCs/>
                <w:lang w:val="nl-NL"/>
              </w:rPr>
              <w:t>Pédale</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Soubasse</w:t>
            </w:r>
          </w:p>
          <w:p>
            <w:pPr>
              <w:pStyle w:val="T4dispositie"/>
              <w:rPr>
                <w:lang w:val="nl-NL"/>
              </w:rPr>
            </w:pPr>
            <w:r>
              <w:rPr>
                <w:lang w:val="nl-NL"/>
              </w:rPr>
              <w:t>Basse Ouverte</w:t>
            </w:r>
          </w:p>
        </w:tc>
        <w:tc>
          <w:tcPr>
            <w:tcW w:w="67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Copula.I.Clavier (a.) Rec.uni (manuaalkoppel), (b.) R.O.G. (Réc Octave Grave, = GO+Rec 16')</w:t>
      </w:r>
    </w:p>
    <w:p>
      <w:pPr>
        <w:pStyle w:val="T1"/>
        <w:jc w:val="start"/>
        <w:rPr>
          <w:lang w:val="nl-NL"/>
        </w:rPr>
      </w:pPr>
      <w:r>
        <w:rPr>
          <w:lang w:val="nl-NL"/>
        </w:rPr>
        <w:t>Tirasses (a.) G.O (b.) Recit</w:t>
      </w:r>
    </w:p>
    <w:p>
      <w:pPr>
        <w:pStyle w:val="T1"/>
        <w:jc w:val="start"/>
        <w:rPr>
          <w:lang w:val="nl-NL"/>
        </w:rPr>
      </w:pPr>
      <w:r>
        <w:rPr>
          <w:lang w:val="nl-NL"/>
        </w:rPr>
        <w:t>Trompette</w:t>
      </w:r>
    </w:p>
    <w:p>
      <w:pPr>
        <w:pStyle w:val="T1"/>
        <w:jc w:val="start"/>
        <w:rPr>
          <w:lang w:val="nl-NL"/>
        </w:rPr>
      </w:pPr>
      <w:r>
        <w:rPr>
          <w:lang w:val="nl-NL"/>
        </w:rPr>
        <w:t>expression</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een schepbalg (1912)</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gehele orgelkas is van eiken. De tinnen frontpijpen hebben opgeworpen labia.</w:t>
      </w:r>
    </w:p>
    <w:p>
      <w:pPr>
        <w:pStyle w:val="T1"/>
        <w:jc w:val="start"/>
        <w:rPr>
          <w:lang w:val="nl-NL"/>
        </w:rPr>
      </w:pPr>
      <w:r>
        <w:rPr>
          <w:lang w:val="nl-NL"/>
        </w:rPr>
        <w:t>Onder in de kas bevindt zich de magazijnbalg; één schepbalg is buiten gebruik, de tweede is verwijderd voor de kanaalinlaat vanuit de motor.</w:t>
      </w:r>
    </w:p>
    <w:p>
      <w:pPr>
        <w:pStyle w:val="T1"/>
        <w:jc w:val="start"/>
        <w:rPr/>
      </w:pPr>
      <w:r>
        <w:rPr>
          <w:lang w:val="nl-NL"/>
        </w:rPr>
        <w:t xml:space="preserve">De ondertoetsen van de handklavieren hebben beenbeleg dat in twee delen per toets is opgelijmd. Ook de frontons zijn van been. Achter de toetsen van het bovenklavier bevindt zich een klavierplankje met het opschrift </w:t>
      </w:r>
      <w:r>
        <w:rPr>
          <w:i/>
          <w:iCs/>
          <w:lang w:val="nl-NL"/>
        </w:rPr>
        <w:t>Mutin Cavaillé-Coll Paris</w:t>
      </w:r>
      <w:r>
        <w:rPr>
          <w:lang w:val="nl-NL"/>
        </w:rPr>
        <w:t>. De registerknoppen zijn in één horizontale rij boven het tweede manuaal aangebracht. Op de knoppen is een klein rond ivoren plaatje aangebracht waarin de registernamen zijn gegraveerd. Het klavierdeksel fungeert in opengeslagen vorm als lessenaar. De boventoetsen van het pedaalklavier zijn belegd met ebben.</w:t>
      </w:r>
    </w:p>
    <w:p>
      <w:pPr>
        <w:pStyle w:val="T1"/>
        <w:jc w:val="start"/>
        <w:rPr>
          <w:lang w:val="nl-NL"/>
        </w:rPr>
      </w:pPr>
      <w:r>
        <w:rPr>
          <w:lang w:val="nl-NL"/>
        </w:rPr>
        <w:t>De speelhulpen zijn uitgevoerd als treden, van links naar rechts: Tirasse GO, Réc, Trompette, Expression (basculetrede), Réc Unison, R.O.G. De trede voor de Trompette werkt mechanisch, maar zonder inhaken: éénmaal intrappen is + Trompette, de tweede maal intrappen is - Trompette. Bij de speelmechanieken zijn de walsen en armpjes van ijzer.</w:t>
      </w:r>
    </w:p>
    <w:p>
      <w:pPr>
        <w:pStyle w:val="T1"/>
        <w:jc w:val="start"/>
        <w:rPr/>
      </w:pPr>
      <w:r>
        <w:rPr>
          <w:lang w:val="nl-NL"/>
        </w:rPr>
        <w:t>De chromatisch ingedeelde windladen van GO en Réc zijn van eiken met enkele mahonie onderdelen. Roosters, stokken en stempels zijn van eiken. Aan de bovenzijde van de laden is een dekplaat aangebracht. De roosters zijn bevestigd met zeshoekige eiken moeren. De lade van het GO ligt meteen achter het front. Daarachter bevindt zich de lade van het Réc. Het pijpwerk van de beide werken wordt gescheiden door een raam met jaloezieën van de zwelkast. Ook in de zijwand van de kas, boven de klaviatuur, zijn jaloezieën aangebracht. Tegen de linker zijwand van de kas bevindt zich een separate moteurslade voor de 30 houten pijpen van de Bourdon 16'. De gedekte houten pijpen hebben een touwlus om de stop te kunnen verstellen. C-dis van de Montre 8' staan in het front, het vervolg staat op de lade. De Prestant 4' staat geheel op de lade. C en Cis van de Flûte Harmonique 8' zijn van hout, open met houten stemschuiven, D-dis (metaal) staan in het front, het vervolg staat op de lade. Het register is vanaf f</w:t>
      </w:r>
      <w:r>
        <w:rPr>
          <w:vertAlign w:val="superscript"/>
          <w:lang w:val="nl-NL"/>
        </w:rPr>
        <w:t>1</w:t>
      </w:r>
      <w:r>
        <w:rPr>
          <w:lang w:val="nl-NL"/>
        </w:rPr>
        <w:t xml:space="preserve"> overblazend (met zijbaarden). C-f</w:t>
      </w:r>
      <w:r>
        <w:rPr>
          <w:vertAlign w:val="superscript"/>
          <w:lang w:val="nl-NL"/>
        </w:rPr>
        <w:t>1</w:t>
      </w:r>
      <w:r>
        <w:rPr>
          <w:lang w:val="nl-NL"/>
        </w:rPr>
        <w:t xml:space="preserve"> van de Bourdon 16' zijn van naaldhout, het vervolg is van metaal, gedekt. Van de metalen Viole de Gambe 8' zijn C-H van de lade afgevoerd en staan op vloerniveau in een aparte nis in de zwelkast. C-h</w:t>
      </w:r>
      <w:r>
        <w:rPr>
          <w:vertAlign w:val="superscript"/>
          <w:lang w:val="nl-NL"/>
        </w:rPr>
        <w:t>1</w:t>
      </w:r>
      <w:r>
        <w:rPr>
          <w:lang w:val="nl-NL"/>
        </w:rPr>
        <w:t xml:space="preserve"> met rolbaarden, het vervolg met zijbaarden. De Cor de Nuit 8' is gedekt, C-H (hout) zijn afgevoerd, het vervolg (metaal) staat op de lade. De Flûte Octaviante 4' is van C-h open en vanaf c</w:t>
      </w:r>
      <w:r>
        <w:rPr>
          <w:vertAlign w:val="superscript"/>
          <w:lang w:val="nl-NL"/>
        </w:rPr>
        <w:t>1</w:t>
      </w:r>
      <w:r>
        <w:rPr>
          <w:lang w:val="nl-NL"/>
        </w:rPr>
        <w:t xml:space="preserve"> overblazend. De Voix Céleste 8' begint op c en heeft rolbaarden tot en met h</w:t>
      </w:r>
      <w:r>
        <w:rPr>
          <w:vertAlign w:val="superscript"/>
          <w:lang w:val="nl-NL"/>
        </w:rPr>
        <w:t>1</w:t>
      </w:r>
      <w:r>
        <w:rPr>
          <w:lang w:val="nl-NL"/>
        </w:rPr>
        <w:t>. Expressions zijn aanwezig bij de registers Montre 8', Prestant 4', Viole de Gambe 8', Voix Céleste 8' alsmede C-h</w:t>
      </w:r>
      <w:r>
        <w:rPr>
          <w:vertAlign w:val="superscript"/>
          <w:lang w:val="nl-NL"/>
        </w:rPr>
        <w:t>2</w:t>
      </w:r>
      <w:r>
        <w:rPr>
          <w:lang w:val="nl-NL"/>
        </w:rPr>
        <w:t xml:space="preserve"> van de Flûte Octaviante 4'.</w:t>
      </w:r>
    </w:p>
    <w:p>
      <w:pPr>
        <w:pStyle w:val="T1"/>
        <w:jc w:val="start"/>
        <w:rPr/>
      </w:pPr>
      <w:r>
        <w:rPr>
          <w:lang w:val="nl-NL"/>
        </w:rPr>
        <w:t>De bekers en stevels van de Trompette 8' zijn van C-e uitgevoerd in spotted metal. De bekers van C-E zijn meteen boven de stevel gekropt om zo de volledige 8'-lengte te kunnen inpassen in de kas. Vanaf c</w:t>
      </w:r>
      <w:r>
        <w:rPr>
          <w:vertAlign w:val="superscript"/>
          <w:lang w:val="nl-NL"/>
        </w:rPr>
        <w:t>2</w:t>
      </w:r>
      <w:r>
        <w:rPr>
          <w:lang w:val="nl-NL"/>
        </w:rPr>
        <w:t xml:space="preserve"> hebben de bekers dubbele lengte. De bekers en stevels van de Basson-Hautbois 8' zijn van C-e eveneens van spotted metal. Van C-h zijn de bekers trechtervormig, bij het vervolg zijn de bekers aanvankelijk licht trechtervormig, daarna wijder trechtervormig uitlopend, C-Dis zijn bij de stevels gekropt. Alle trechtervormige tongwerkbekers, behalve de discant van de Basson-Hautbois 8', zijn voorzien van een intonatieslits.</w:t>
      </w:r>
    </w:p>
    <w:p>
      <w:pPr>
        <w:pStyle w:val="T1"/>
        <w:jc w:val="start"/>
        <w:rPr>
          <w:lang w:val="nl-NL"/>
        </w:rPr>
      </w:pPr>
      <w:r>
        <w:rPr>
          <w:lang w:val="nl-NL"/>
        </w:rPr>
        <w:t>Alle pedaalregisters zijn transmissies; de Soubasse van de Bourdon 16' en de Basse Ouverte van de Flûte Harmonique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2010-03-18T22:51:00Z</dcterms:created>
  <dc:creator>WS1</dc:creator>
  <dc:description/>
  <dc:language>en-US</dc:language>
  <cp:lastModifiedBy>NIvO</cp:lastModifiedBy>
  <cp:lastPrinted>2009-07-08T13:40:00Z</cp:lastPrinted>
  <dcterms:modified xsi:type="dcterms:W3CDTF">2010-03-23T19:36:00Z</dcterms:modified>
  <cp:revision>4</cp:revision>
  <dc:subject/>
  <dc:title>Hilversum / 1910</dc:title>
</cp:coreProperties>
</file>