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Utrecht / 1913</w:t>
      </w:r>
    </w:p>
    <w:p>
      <w:pPr>
        <w:pStyle w:val="Heading2"/>
        <w:jc w:val="both"/>
        <w:rPr>
          <w:i w:val="false"/>
          <w:i w:val="false"/>
          <w:iCs/>
        </w:rPr>
      </w:pPr>
      <w:r>
        <w:rPr>
          <w:i w:val="false"/>
          <w:iCs/>
        </w:rPr>
        <w:t>Hervormde Nieuwe Kerk (Bollenhofsestraat)</w:t>
      </w:r>
    </w:p>
    <w:p>
      <w:pPr>
        <w:pStyle w:val="T1"/>
        <w:jc w:val="start"/>
        <w:rPr>
          <w:i/>
          <w:i/>
          <w:iCs/>
          <w:lang w:val="nl-NL"/>
        </w:rPr>
      </w:pPr>
      <w:r>
        <w:rPr>
          <w:i/>
          <w:iCs/>
          <w:lang w:val="nl-NL"/>
        </w:rPr>
      </w:r>
    </w:p>
    <w:p>
      <w:pPr>
        <w:pStyle w:val="T1"/>
        <w:jc w:val="start"/>
        <w:rPr>
          <w:rFonts w:ascii="Arial Unicode MS" w:hAnsi="Arial Unicode MS" w:eastAsia="Arial Unicode MS" w:cs="Arial Unicode MS"/>
          <w:i/>
          <w:i/>
          <w:iCs/>
          <w:szCs w:val="24"/>
          <w:lang w:val="nl-NL"/>
        </w:rPr>
      </w:pPr>
      <w:r>
        <w:rPr>
          <w:i/>
          <w:iCs/>
          <w:lang w:val="nl-NL"/>
        </w:rPr>
        <w:t>Eenvoudig kerkgebouw, in 1910 tot stand gekomen onder architectuur van C.B. Posthumus Meyes (1859-1922). Het interieur vertoont flauw ronde bogen zoals de architect die ook wel toepaste in onder meer de Nieuwezijds Kapel (1912) en de Prinsessekerk (1918) in Amsterdam.</w:t>
      </w:r>
    </w:p>
    <w:p>
      <w:pPr>
        <w:pStyle w:val="T1"/>
        <w:jc w:val="start"/>
        <w:rPr>
          <w:rFonts w:ascii="Arial Unicode MS" w:hAnsi="Arial Unicode MS" w:eastAsia="Arial Unicode MS" w:cs="Arial Unicode MS"/>
          <w:i/>
          <w:i/>
          <w:iCs/>
          <w:szCs w:val="24"/>
          <w:lang w:val="nl-NL"/>
        </w:rPr>
      </w:pPr>
      <w:r>
        <w:rPr>
          <w:rFonts w:eastAsia="Arial Unicode MS" w:cs="Arial Unicode MS" w:ascii="Arial Unicode MS" w:hAnsi="Arial Unicode MS"/>
          <w:i/>
          <w:iCs/>
          <w:szCs w:val="24"/>
          <w:lang w:val="nl-NL"/>
        </w:rPr>
      </w:r>
    </w:p>
    <w:p>
      <w:pPr>
        <w:pStyle w:val="T1"/>
        <w:rPr>
          <w:lang w:val="nl-NL"/>
        </w:rPr>
      </w:pPr>
      <w:r>
        <w:rPr>
          <w:lang w:val="nl-NL"/>
        </w:rPr>
        <w:t>Kas: 1913</w:t>
      </w:r>
    </w:p>
    <w:p>
      <w:pPr>
        <w:pStyle w:val="T1"/>
        <w:rPr>
          <w:lang w:val="nl-NL"/>
        </w:rPr>
      </w:pPr>
      <w:r>
        <w:rPr>
          <w:lang w:val="nl-NL"/>
        </w:rPr>
      </w:r>
    </w:p>
    <w:p>
      <w:pPr>
        <w:pStyle w:val="Heading2"/>
        <w:jc w:val="both"/>
        <w:rPr>
          <w:i w:val="false"/>
          <w:i w:val="false"/>
          <w:iCs/>
        </w:rPr>
      </w:pPr>
      <w:r>
        <w:rPr>
          <w:i w:val="false"/>
          <w:iCs/>
        </w:rPr>
        <w:t>Kunsthistorische aspecten</w:t>
      </w:r>
    </w:p>
    <w:p>
      <w:pPr>
        <w:pStyle w:val="T2Kunst"/>
        <w:jc w:val="start"/>
        <w:rPr>
          <w:rFonts w:ascii="Arial Unicode MS" w:hAnsi="Arial Unicode MS" w:eastAsia="Arial Unicode MS" w:cs="Arial Unicode MS"/>
          <w:szCs w:val="24"/>
          <w:lang w:val="nl-NL"/>
        </w:rPr>
      </w:pPr>
      <w:r>
        <w:rPr>
          <w:lang w:val="nl-NL"/>
        </w:rPr>
        <w:t>Sober front met een schema dat sterk doet denken aan het front van het verloren gegane orgel in de Utrechtse Pieterskerk. Aan dit uit 1899 daterende orgel, gebouwd door De Koffs werkgever Johann Frederik Witte, heeft De Koff nog meegewerkt. Het frontschema van de Nieuwe Kerk is dan ook van De Koff, met een beperkt aantal door de architect Posthumus Meyes voorgestelde wijzigingen. De gestapelde velden wijzen duidelijk in de richting van Witte. De rondbogen in het Witte-schema van de Pieterskerk zien we ook in het orgelfront van de Nieuwe Kerk terugkeren. De flauw ronde bogen in de middenpartij laten weer de invloed van de architect zien.</w:t>
      </w:r>
    </w:p>
    <w:p>
      <w:pPr>
        <w:pStyle w:val="T2Kunst"/>
        <w:jc w:val="start"/>
        <w:rPr>
          <w:lang w:val="nl-NL"/>
        </w:rPr>
      </w:pPr>
      <w:r>
        <w:rPr>
          <w:lang w:val="nl-NL"/>
        </w:rPr>
        <w:t>De ornamentiek is uiterst spaarzaam aangebracht. De eenvoudige zuilen met basementen en kapitelen alsmede het geprofileerde lijstwerk lijken regelrecht aan Witte te zijn ontleend.</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A. Brom jr., ‘Het orgel in de Nieuwe Kerk te Utrecht’. </w:t>
      </w:r>
      <w:r>
        <w:rPr>
          <w:i/>
          <w:iCs/>
          <w:lang w:val="nl-NL"/>
        </w:rPr>
        <w:t>Het Orgel</w:t>
      </w:r>
      <w:r>
        <w:rPr>
          <w:lang w:val="nl-NL"/>
        </w:rPr>
        <w:t>, 10/2 (1912), 16.</w:t>
      </w:r>
    </w:p>
    <w:p>
      <w:pPr>
        <w:pStyle w:val="T3Lit"/>
        <w:jc w:val="start"/>
        <w:rPr/>
      </w:pPr>
      <w:r>
        <w:rPr>
          <w:lang w:val="nl-NL"/>
        </w:rPr>
        <w:t xml:space="preserve">Peter van Dijk en Gert Oost, </w:t>
      </w:r>
      <w:r>
        <w:rPr>
          <w:i/>
          <w:iCs/>
          <w:lang w:val="nl-NL"/>
        </w:rPr>
        <w:t>Utrecht, Orgelstad</w:t>
      </w:r>
      <w:r>
        <w:rPr>
          <w:lang w:val="nl-NL"/>
        </w:rPr>
        <w:t>. Utrecht, 1981, 47-48.</w:t>
      </w:r>
    </w:p>
    <w:p>
      <w:pPr>
        <w:pStyle w:val="T3Lit"/>
        <w:jc w:val="start"/>
        <w:rPr/>
      </w:pPr>
      <w:r>
        <w:rPr>
          <w:lang w:val="nl-NL"/>
        </w:rPr>
        <w:t xml:space="preserve">Peter van Dijk en Ronald Doornekamp, </w:t>
      </w:r>
      <w:r>
        <w:rPr>
          <w:i/>
          <w:iCs/>
          <w:lang w:val="nl-NL"/>
        </w:rPr>
        <w:t>Orgels in de stad Utrecht</w:t>
      </w:r>
      <w:r>
        <w:rPr>
          <w:lang w:val="nl-NL"/>
        </w:rPr>
        <w:t>. Utrecht, 1992, 40-41, 80.</w:t>
      </w:r>
    </w:p>
    <w:p>
      <w:pPr>
        <w:pStyle w:val="T3Lit"/>
        <w:jc w:val="start"/>
        <w:rPr/>
      </w:pPr>
      <w:r>
        <w:rPr>
          <w:i/>
          <w:iCs/>
          <w:lang w:val="nl-NL"/>
        </w:rPr>
        <w:t>Het Orgel</w:t>
      </w:r>
      <w:r>
        <w:rPr>
          <w:lang w:val="nl-NL"/>
        </w:rPr>
        <w:t>, 11/5 (1913), 36; 77/3 (1981), 91.</w:t>
      </w:r>
    </w:p>
    <w:p>
      <w:pPr>
        <w:pStyle w:val="T3Lit"/>
        <w:jc w:val="start"/>
        <w:rPr>
          <w:lang w:val="nl-NL"/>
        </w:rPr>
      </w:pPr>
      <w:r>
        <w:rPr>
          <w:lang w:val="nl-NL"/>
        </w:rPr>
        <w:t>Bert Wisgerhof, Utrechts orgellandschap. Amersfoort 1979, 154-155.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 Bouman, Dispositiecahier III.</w:t>
      </w:r>
    </w:p>
    <w:p>
      <w:pPr>
        <w:pStyle w:val="T3Lit"/>
        <w:jc w:val="start"/>
        <w:rPr>
          <w:lang w:val="nl-NL"/>
        </w:rPr>
      </w:pPr>
      <w:r>
        <w:rPr>
          <w:lang w:val="nl-NL"/>
        </w:rPr>
        <w:t>Archief Flentrop Orgelbouw.</w:t>
      </w:r>
    </w:p>
    <w:p>
      <w:pPr>
        <w:pStyle w:val="T3Lit"/>
        <w:jc w:val="start"/>
        <w:rPr>
          <w:lang w:val="nl-NL"/>
        </w:rPr>
      </w:pPr>
      <w:r>
        <w:rPr>
          <w:lang w:val="nl-NL"/>
        </w:rPr>
        <w:t>Orgelarchief Teus den Toom.</w:t>
      </w:r>
    </w:p>
    <w:p>
      <w:pPr>
        <w:pStyle w:val="T3Lit"/>
        <w:jc w:val="start"/>
        <w:rPr>
          <w:lang w:val="nl-NL"/>
        </w:rPr>
      </w:pPr>
      <w:r>
        <w:rPr>
          <w:lang w:val="nl-NL"/>
        </w:rPr>
      </w:r>
    </w:p>
    <w:p>
      <w:pPr>
        <w:pStyle w:val="T3Lit"/>
        <w:jc w:val="start"/>
        <w:rPr>
          <w:lang w:val="nl-NL"/>
        </w:rPr>
      </w:pPr>
      <w:r>
        <w:rPr>
          <w:lang w:val="nl-NL"/>
        </w:rPr>
        <w:t>Orgelnummer 1517</w:t>
      </w:r>
    </w:p>
    <w:p>
      <w:pPr>
        <w:pStyle w:val="T1"/>
        <w:rPr>
          <w:lang w:val="nl-NL"/>
        </w:rPr>
      </w:pPr>
      <w:r>
        <w:rPr>
          <w:lang w:val="nl-NL"/>
        </w:rPr>
      </w:r>
    </w:p>
    <w:p>
      <w:pPr>
        <w:pStyle w:val="Heading2"/>
        <w:jc w:val="both"/>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J. de Koff</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1913</w:t>
      </w:r>
    </w:p>
    <w:p>
      <w:pPr>
        <w:pStyle w:val="T1"/>
        <w:rPr>
          <w:lang w:val="nl-NL"/>
        </w:rPr>
      </w:pPr>
      <w:r>
        <w:rPr>
          <w:lang w:val="nl-NL"/>
        </w:rPr>
      </w:r>
    </w:p>
    <w:p>
      <w:pPr>
        <w:pStyle w:val="T1"/>
        <w:rPr/>
      </w:pPr>
      <w:r>
        <w:rPr/>
        <w:t>Dispositie volgens offerte J. de Koff 1911</w:t>
      </w:r>
    </w:p>
    <w:tbl>
      <w:tblPr>
        <w:tblW w:w="6730" w:type="dxa"/>
        <w:jc w:val="start"/>
        <w:tblInd w:w="-70" w:type="dxa"/>
        <w:tblLayout w:type="fixed"/>
        <w:tblCellMar>
          <w:top w:w="0" w:type="dxa"/>
          <w:start w:w="70" w:type="dxa"/>
          <w:bottom w:w="0" w:type="dxa"/>
          <w:end w:w="70" w:type="dxa"/>
        </w:tblCellMar>
      </w:tblPr>
      <w:tblGrid>
        <w:gridCol w:w="1510"/>
        <w:gridCol w:w="540"/>
        <w:gridCol w:w="2520"/>
        <w:gridCol w:w="540"/>
        <w:gridCol w:w="1080"/>
        <w:gridCol w:w="540"/>
      </w:tblGrid>
      <w:tr>
        <w:trPr/>
        <w:tc>
          <w:tcPr>
            <w:tcW w:w="1510"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w:t>
            </w:r>
          </w:p>
          <w:p>
            <w:pPr>
              <w:pStyle w:val="T4dispositie"/>
              <w:jc w:val="start"/>
              <w:rPr>
                <w:lang w:val="nl-NL"/>
              </w:rPr>
            </w:pPr>
            <w:r>
              <w:rPr>
                <w:lang w:val="nl-NL"/>
              </w:rPr>
              <w:t>* Octaaf</w:t>
            </w:r>
          </w:p>
          <w:p>
            <w:pPr>
              <w:pStyle w:val="T4dispositie"/>
              <w:jc w:val="start"/>
              <w:rPr>
                <w:lang w:val="nl-NL"/>
              </w:rPr>
            </w:pPr>
            <w:r>
              <w:rPr>
                <w:lang w:val="nl-NL"/>
              </w:rPr>
              <w:t>* Quint</w:t>
            </w:r>
          </w:p>
          <w:p>
            <w:pPr>
              <w:pStyle w:val="T4dispositie"/>
              <w:jc w:val="start"/>
              <w:rPr>
                <w:lang w:val="nl-NL"/>
              </w:rPr>
            </w:pPr>
            <w:r>
              <w:rPr>
                <w:lang w:val="nl-NL"/>
              </w:rPr>
              <w:t>* Octaaf</w:t>
            </w:r>
          </w:p>
          <w:p>
            <w:pPr>
              <w:pStyle w:val="T4dispositie"/>
              <w:jc w:val="start"/>
              <w:rPr>
                <w:lang w:val="nl-NL"/>
              </w:rPr>
            </w:pPr>
            <w:r>
              <w:rPr>
                <w:lang w:val="nl-NL"/>
              </w:rPr>
              <w:t>* Mixtuur</w:t>
            </w:r>
          </w:p>
          <w:p>
            <w:pPr>
              <w:pStyle w:val="T4dispositie"/>
              <w:jc w:val="start"/>
              <w:rPr>
                <w:lang w:val="nl-NL"/>
              </w:rPr>
            </w:pPr>
            <w:r>
              <w:rPr>
                <w:lang w:val="nl-NL"/>
              </w:rPr>
              <w:t>* Cornet</w:t>
            </w:r>
          </w:p>
          <w:p>
            <w:pPr>
              <w:pStyle w:val="T4dispositie"/>
              <w:jc w:val="start"/>
              <w:rPr>
                <w:lang w:val="nl-NL"/>
              </w:rPr>
            </w:pPr>
            <w:r>
              <w:rPr>
                <w:lang w:val="nl-NL"/>
              </w:rPr>
              <w:t>* 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5 st.</w:t>
            </w:r>
          </w:p>
          <w:p>
            <w:pPr>
              <w:pStyle w:val="T4dispositie"/>
              <w:jc w:val="start"/>
              <w:rPr>
                <w:lang w:val="nl-NL"/>
              </w:rPr>
            </w:pPr>
            <w:r>
              <w:rPr>
                <w:lang w:val="nl-NL"/>
              </w:rPr>
              <w:t>8'</w:t>
            </w:r>
          </w:p>
        </w:tc>
        <w:tc>
          <w:tcPr>
            <w:tcW w:w="2520" w:type="dxa"/>
            <w:tcBorders/>
          </w:tcPr>
          <w:p>
            <w:pPr>
              <w:pStyle w:val="T4dispositie"/>
              <w:jc w:val="start"/>
              <w:rPr>
                <w:lang w:val="nl-NL"/>
              </w:rPr>
            </w:pPr>
            <w:r>
              <w:rPr>
                <w:i/>
                <w:iCs/>
                <w:lang w:val="nl-NL"/>
              </w:rPr>
              <w:t>Boven manuaal</w:t>
            </w:r>
            <w:r>
              <w:rPr>
                <w:lang w:val="nl-NL"/>
              </w:rPr>
              <w:t xml:space="preserve"> </w:t>
            </w:r>
            <w:r>
              <w:rPr>
                <w:i/>
                <w:iCs/>
                <w:lang w:val="nl-NL"/>
              </w:rPr>
              <w:t>(in zwelkast)</w:t>
            </w:r>
          </w:p>
          <w:p>
            <w:pPr>
              <w:pStyle w:val="T4dispositie"/>
              <w:jc w:val="start"/>
              <w:rPr>
                <w:lang w:val="nl-NL"/>
              </w:rPr>
            </w:pPr>
            <w:r>
              <w:rPr>
                <w:lang w:val="nl-NL"/>
              </w:rPr>
              <w:t>Holfluit</w:t>
            </w:r>
          </w:p>
          <w:p>
            <w:pPr>
              <w:pStyle w:val="T4dispositie"/>
              <w:jc w:val="start"/>
              <w:rPr>
                <w:lang w:val="nl-NL"/>
              </w:rPr>
            </w:pPr>
            <w:r>
              <w:rPr>
                <w:lang w:val="nl-NL"/>
              </w:rPr>
              <w:t>Saliset</w:t>
            </w:r>
          </w:p>
          <w:p>
            <w:pPr>
              <w:pStyle w:val="T4dispositie"/>
              <w:jc w:val="start"/>
              <w:rPr>
                <w:lang w:val="nl-NL"/>
              </w:rPr>
            </w:pPr>
            <w:r>
              <w:rPr>
                <w:lang w:val="nl-NL"/>
              </w:rPr>
              <w:t>Viola</w:t>
            </w:r>
          </w:p>
          <w:p>
            <w:pPr>
              <w:pStyle w:val="T4dispositie"/>
              <w:jc w:val="start"/>
              <w:rPr>
                <w:lang w:val="nl-NL"/>
              </w:rPr>
            </w:pPr>
            <w:r>
              <w:rPr>
                <w:lang w:val="nl-NL"/>
              </w:rPr>
              <w:t>Vox celeste</w:t>
            </w:r>
          </w:p>
          <w:p>
            <w:pPr>
              <w:pStyle w:val="T4dispositie"/>
              <w:jc w:val="start"/>
              <w:rPr>
                <w:lang w:val="nl-NL"/>
              </w:rPr>
            </w:pPr>
            <w:r>
              <w:rPr>
                <w:lang w:val="nl-NL"/>
              </w:rPr>
              <w:t>Fluit</w:t>
            </w:r>
          </w:p>
          <w:p>
            <w:pPr>
              <w:pStyle w:val="T4dispositie"/>
              <w:jc w:val="start"/>
              <w:rPr>
                <w:lang w:val="nl-NL"/>
              </w:rPr>
            </w:pPr>
            <w:r>
              <w:rPr>
                <w:lang w:val="nl-NL"/>
              </w:rPr>
              <w:t>Saliset</w:t>
            </w:r>
          </w:p>
          <w:p>
            <w:pPr>
              <w:pStyle w:val="T4dispositie"/>
              <w:jc w:val="start"/>
              <w:rPr>
                <w:lang w:val="nl-NL"/>
              </w:rPr>
            </w:pPr>
            <w:r>
              <w:rPr>
                <w:lang w:val="nl-NL"/>
              </w:rPr>
              <w:t>Gemshoorn</w:t>
            </w:r>
          </w:p>
          <w:p>
            <w:pPr>
              <w:pStyle w:val="T4dispositie"/>
              <w:jc w:val="start"/>
              <w:rPr>
                <w:lang w:val="nl-NL"/>
              </w:rPr>
            </w:pPr>
            <w:r>
              <w:rPr>
                <w:lang w:val="nl-NL"/>
              </w:rPr>
              <w:t>Gemshoorn</w:t>
            </w:r>
          </w:p>
          <w:p>
            <w:pPr>
              <w:pStyle w:val="T4dispositie"/>
              <w:jc w:val="start"/>
              <w:rPr>
                <w:lang w:val="nl-NL"/>
              </w:rPr>
            </w:pPr>
            <w:r>
              <w:rPr>
                <w:lang w:val="nl-NL"/>
              </w:rPr>
              <w:t>Clarinet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8'</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Bourdon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combinatiestemmen hoofdmanuaal</w:t>
      </w:r>
    </w:p>
    <w:p>
      <w:pPr>
        <w:pStyle w:val="T4dispositie"/>
        <w:jc w:val="start"/>
        <w:rPr>
          <w:lang w:val="nl-NL"/>
        </w:rPr>
      </w:pPr>
      <w:r>
        <w:rPr>
          <w:lang w:val="nl-NL"/>
        </w:rPr>
      </w:r>
    </w:p>
    <w:p>
      <w:pPr>
        <w:pStyle w:val="T4dispositie"/>
        <w:jc w:val="start"/>
        <w:rPr>
          <w:lang w:val="nl-NL"/>
        </w:rPr>
      </w:pPr>
      <w:r>
        <w:rPr>
          <w:lang w:val="nl-NL"/>
        </w:rPr>
        <w:t>koppel I-II, koppel P-I, koppel P-II</w:t>
      </w:r>
    </w:p>
    <w:p>
      <w:pPr>
        <w:pStyle w:val="T4dispositie"/>
        <w:jc w:val="start"/>
        <w:rPr>
          <w:lang w:val="nl-NL"/>
        </w:rPr>
      </w:pPr>
      <w:r>
        <w:rPr>
          <w:lang w:val="nl-NL"/>
        </w:rPr>
        <w:t>ventiel</w:t>
      </w:r>
    </w:p>
    <w:p>
      <w:pPr>
        <w:pStyle w:val="T4dispositie"/>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J. de Koff &amp; Zoon 1930</w:t>
      </w:r>
    </w:p>
    <w:p>
      <w:pPr>
        <w:pStyle w:val="T1"/>
        <w:numPr>
          <w:ilvl w:val="0"/>
          <w:numId w:val="2"/>
        </w:numPr>
        <w:jc w:val="start"/>
        <w:rPr>
          <w:lang w:val="nl-NL"/>
        </w:rPr>
      </w:pPr>
      <w:r>
        <w:rPr>
          <w:lang w:val="nl-NL"/>
        </w:rPr>
        <w:t>herstelwerkzaamheden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C-h Bourdon 16' op een pneumatisch bediende lade achter in de kas geplaatst</w:t>
      </w:r>
    </w:p>
    <w:p>
      <w:pPr>
        <w:pStyle w:val="T1"/>
        <w:jc w:val="start"/>
        <w:rPr>
          <w:lang w:val="nl-NL"/>
        </w:rPr>
      </w:pPr>
      <w:r>
        <w:rPr>
          <w:lang w:val="nl-NL"/>
        </w:rPr>
        <w:tab/>
        <w:tab/>
        <w:tab/>
        <w:t xml:space="preserve"> </w:t>
      </w:r>
    </w:p>
    <w:p>
      <w:pPr>
        <w:pStyle w:val="T1"/>
        <w:jc w:val="start"/>
        <w:rPr>
          <w:lang w:val="nl-NL"/>
        </w:rPr>
      </w:pPr>
      <w:r>
        <w:rPr>
          <w:lang w:val="nl-NL"/>
        </w:rPr>
        <w:t>Flentrop Orgelbouw 1980</w:t>
      </w:r>
    </w:p>
    <w:p>
      <w:pPr>
        <w:pStyle w:val="T1"/>
        <w:numPr>
          <w:ilvl w:val="0"/>
          <w:numId w:val="5"/>
        </w:numPr>
        <w:jc w:val="start"/>
        <w:rPr>
          <w:lang w:val="nl-NL"/>
        </w:rPr>
      </w:pPr>
      <w:r>
        <w:rPr>
          <w:lang w:val="nl-NL"/>
        </w:rPr>
        <w:t>restauratie</w:t>
      </w:r>
    </w:p>
    <w:p>
      <w:pPr>
        <w:pStyle w:val="T1"/>
        <w:numPr>
          <w:ilvl w:val="0"/>
          <w:numId w:val="4"/>
        </w:numPr>
        <w:jc w:val="start"/>
        <w:rPr>
          <w:lang w:val="nl-NL"/>
        </w:rPr>
      </w:pPr>
      <w:r>
        <w:rPr>
          <w:lang w:val="nl-NL"/>
        </w:rPr>
        <w:t>C-h Bourdon 16' op oorspronkelijke plaats teruggezet; pneumatisch bediende lade verwijderd</w:t>
      </w:r>
    </w:p>
    <w:p>
      <w:pPr>
        <w:pStyle w:val="T1"/>
        <w:rPr>
          <w:lang w:val="nl-NL"/>
        </w:rPr>
      </w:pPr>
      <w:r>
        <w:rPr>
          <w:lang w:val="nl-NL"/>
        </w:rPr>
      </w:r>
    </w:p>
    <w:p>
      <w:pPr>
        <w:pStyle w:val="Heading2"/>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bovenwerk, pedaal</w:t>
      </w:r>
    </w:p>
    <w:p>
      <w:pPr>
        <w:pStyle w:val="T1"/>
        <w:rPr>
          <w:lang w:val="nl-NL"/>
        </w:rPr>
      </w:pPr>
      <w:r>
        <w:rPr>
          <w:lang w:val="nl-NL"/>
        </w:rPr>
      </w:r>
    </w:p>
    <w:p>
      <w:pPr>
        <w:pStyle w:val="T1"/>
        <w:rPr/>
      </w:pPr>
      <w:r>
        <w:rPr/>
        <w:t>Dispositie</w:t>
      </w:r>
    </w:p>
    <w:tbl>
      <w:tblPr>
        <w:tblW w:w="6910" w:type="dxa"/>
        <w:jc w:val="start"/>
        <w:tblInd w:w="-70" w:type="dxa"/>
        <w:tblLayout w:type="fixed"/>
        <w:tblCellMar>
          <w:top w:w="0" w:type="dxa"/>
          <w:start w:w="70" w:type="dxa"/>
          <w:bottom w:w="0" w:type="dxa"/>
          <w:end w:w="70" w:type="dxa"/>
        </w:tblCellMar>
      </w:tblPr>
      <w:tblGrid>
        <w:gridCol w:w="1510"/>
        <w:gridCol w:w="540"/>
        <w:gridCol w:w="2520"/>
        <w:gridCol w:w="360"/>
        <w:gridCol w:w="1080"/>
        <w:gridCol w:w="900"/>
      </w:tblGrid>
      <w:tr>
        <w:trPr/>
        <w:tc>
          <w:tcPr>
            <w:tcW w:w="1510"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w:t>
            </w:r>
          </w:p>
          <w:p>
            <w:pPr>
              <w:pStyle w:val="T4dispositie"/>
              <w:jc w:val="start"/>
              <w:rPr>
                <w:lang w:val="nl-NL"/>
              </w:rPr>
            </w:pPr>
            <w:r>
              <w:rPr>
                <w:lang w:val="nl-NL"/>
              </w:rPr>
              <w:t>* Octaaf</w:t>
            </w:r>
          </w:p>
          <w:p>
            <w:pPr>
              <w:pStyle w:val="T4dispositie"/>
              <w:jc w:val="start"/>
              <w:rPr>
                <w:lang w:val="nl-NL"/>
              </w:rPr>
            </w:pPr>
            <w:r>
              <w:rPr>
                <w:lang w:val="nl-NL"/>
              </w:rPr>
              <w:t>* Quint</w:t>
              <w:tab/>
            </w:r>
          </w:p>
          <w:p>
            <w:pPr>
              <w:pStyle w:val="T4dispositie"/>
              <w:jc w:val="start"/>
              <w:rPr>
                <w:lang w:val="nl-NL"/>
              </w:rPr>
            </w:pPr>
            <w:r>
              <w:rPr>
                <w:lang w:val="nl-NL"/>
              </w:rPr>
              <w:t>* Octaaf</w:t>
            </w:r>
          </w:p>
          <w:p>
            <w:pPr>
              <w:pStyle w:val="T4dispositie"/>
              <w:jc w:val="start"/>
              <w:rPr>
                <w:lang w:val="nl-NL"/>
              </w:rPr>
            </w:pPr>
            <w:r>
              <w:rPr>
                <w:lang w:val="nl-NL"/>
              </w:rPr>
              <w:t>* Mixtuur</w:t>
            </w:r>
          </w:p>
          <w:p>
            <w:pPr>
              <w:pStyle w:val="T4dispositie"/>
              <w:jc w:val="start"/>
              <w:rPr>
                <w:lang w:val="nl-NL"/>
              </w:rPr>
            </w:pPr>
            <w:r>
              <w:rPr>
                <w:lang w:val="nl-NL"/>
              </w:rPr>
              <w:t>* Cornet</w:t>
            </w:r>
          </w:p>
          <w:p>
            <w:pPr>
              <w:pStyle w:val="T4dispositie"/>
              <w:jc w:val="start"/>
              <w:rPr>
                <w:lang w:val="nl-NL"/>
              </w:rPr>
            </w:pPr>
            <w:r>
              <w:rPr>
                <w:lang w:val="nl-NL"/>
              </w:rPr>
              <w:t>* 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5 st.</w:t>
            </w:r>
          </w:p>
          <w:p>
            <w:pPr>
              <w:pStyle w:val="T4dispositie"/>
              <w:jc w:val="start"/>
              <w:rPr>
                <w:lang w:val="nl-NL"/>
              </w:rPr>
            </w:pPr>
            <w:r>
              <w:rPr>
                <w:lang w:val="nl-NL"/>
              </w:rPr>
              <w:t>8'</w:t>
            </w:r>
          </w:p>
        </w:tc>
        <w:tc>
          <w:tcPr>
            <w:tcW w:w="2520" w:type="dxa"/>
            <w:tcBorders/>
          </w:tcPr>
          <w:p>
            <w:pPr>
              <w:pStyle w:val="T4dispositie"/>
              <w:jc w:val="start"/>
              <w:rPr>
                <w:lang w:val="nl-NL"/>
              </w:rPr>
            </w:pPr>
            <w:r>
              <w:rPr>
                <w:i/>
                <w:iCs/>
                <w:lang w:val="nl-NL"/>
              </w:rPr>
              <w:t>Boven manuaal</w:t>
            </w:r>
            <w:r>
              <w:rPr>
                <w:lang w:val="nl-NL"/>
              </w:rPr>
              <w:t xml:space="preserve"> </w:t>
            </w:r>
            <w:r>
              <w:rPr>
                <w:i/>
                <w:iCs/>
                <w:lang w:val="nl-NL"/>
              </w:rPr>
              <w:t>(in zwelkast)</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Salicet</w:t>
            </w:r>
          </w:p>
          <w:p>
            <w:pPr>
              <w:pStyle w:val="T4dispositie"/>
              <w:jc w:val="start"/>
              <w:rPr>
                <w:lang w:val="nl-NL"/>
              </w:rPr>
            </w:pPr>
            <w:r>
              <w:rPr>
                <w:lang w:val="nl-NL"/>
              </w:rPr>
              <w:t>Viola</w:t>
            </w:r>
          </w:p>
          <w:p>
            <w:pPr>
              <w:pStyle w:val="T4dispositie"/>
              <w:jc w:val="start"/>
              <w:rPr>
                <w:lang w:val="nl-NL"/>
              </w:rPr>
            </w:pPr>
            <w:r>
              <w:rPr>
                <w:lang w:val="nl-NL"/>
              </w:rPr>
              <w:t>Vox celeste</w:t>
            </w:r>
          </w:p>
          <w:p>
            <w:pPr>
              <w:pStyle w:val="T4dispositie"/>
              <w:jc w:val="start"/>
              <w:rPr>
                <w:lang w:val="nl-NL"/>
              </w:rPr>
            </w:pPr>
            <w:r>
              <w:rPr>
                <w:lang w:val="nl-NL"/>
              </w:rPr>
              <w:t>Salicet</w:t>
              <w:tab/>
            </w:r>
          </w:p>
          <w:p>
            <w:pPr>
              <w:pStyle w:val="T4dispositie"/>
              <w:jc w:val="start"/>
              <w:rPr>
                <w:lang w:val="nl-NL"/>
              </w:rPr>
            </w:pPr>
            <w:r>
              <w:rPr>
                <w:lang w:val="nl-NL"/>
              </w:rPr>
              <w:t>Fluit harmoniek</w:t>
            </w:r>
          </w:p>
          <w:p>
            <w:pPr>
              <w:pStyle w:val="T4dispositie"/>
              <w:jc w:val="start"/>
              <w:rPr>
                <w:lang w:val="nl-NL"/>
              </w:rPr>
            </w:pPr>
            <w:r>
              <w:rPr>
                <w:lang w:val="nl-NL"/>
              </w:rPr>
              <w:t>Gemshoorn</w:t>
            </w:r>
          </w:p>
          <w:p>
            <w:pPr>
              <w:pStyle w:val="T4dispositie"/>
              <w:jc w:val="start"/>
              <w:rPr>
                <w:lang w:val="nl-NL"/>
              </w:rPr>
            </w:pPr>
            <w:r>
              <w:rPr>
                <w:lang w:val="nl-NL"/>
              </w:rPr>
              <w:t>Woudfluit</w:t>
            </w:r>
          </w:p>
          <w:p>
            <w:pPr>
              <w:pStyle w:val="T4dispositie"/>
              <w:jc w:val="start"/>
              <w:rPr>
                <w:lang w:val="nl-NL"/>
              </w:rPr>
            </w:pPr>
            <w:r>
              <w:rPr>
                <w:lang w:val="nl-NL"/>
              </w:rPr>
              <w:t>Clarinet</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8'</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Bourdon</w:t>
            </w:r>
          </w:p>
          <w:p>
            <w:pPr>
              <w:pStyle w:val="T4dispositie"/>
              <w:jc w:val="start"/>
              <w:rPr>
                <w:lang w:val="nl-NL"/>
              </w:rPr>
            </w:pPr>
            <w:r>
              <w:rPr>
                <w:lang w:val="nl-NL"/>
              </w:rPr>
              <w:t>Fagot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combinatiestemmen hoofdmanuaal</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 tremulant BW</w:t>
      </w:r>
    </w:p>
    <w:p>
      <w:pPr>
        <w:pStyle w:val="T1"/>
        <w:jc w:val="start"/>
        <w:rPr>
          <w:lang w:val="nl-NL"/>
        </w:rPr>
      </w:pPr>
      <w:r>
        <w:rPr>
          <w:lang w:val="nl-NL"/>
        </w:rPr>
        <w:t>trede zwelkast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G</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gis</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gis</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gis</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t xml:space="preserve"> </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Cornet</w:t>
            </w:r>
          </w:p>
        </w:tc>
        <w:tc>
          <w:tcPr>
            <w:tcW w:w="718" w:type="dxa"/>
            <w:tcBorders/>
          </w:tcPr>
          <w:p>
            <w:pPr>
              <w:pStyle w:val="T4dispositie"/>
              <w:jc w:val="start"/>
              <w:rPr>
                <w:lang w:val="nl-NL"/>
              </w:rPr>
            </w:pPr>
            <w:r>
              <w:rPr>
                <w:lang w:val="nl-NL"/>
              </w:rPr>
              <w:t>gis</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lang w:val="nl-NL"/>
              </w:rPr>
            </w:pPr>
            <w:r>
              <w:rPr>
                <w:lang w:val="nl-NL"/>
              </w:rPr>
              <w:t>b</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 xml:space="preserve">twee onderling verbonden magazijnbalgen </w:t>
      </w:r>
    </w:p>
    <w:p>
      <w:pPr>
        <w:pStyle w:val="T1"/>
        <w:jc w:val="start"/>
        <w:rPr>
          <w:lang w:val="nl-NL"/>
        </w:rPr>
      </w:pPr>
      <w:r>
        <w:rPr>
          <w:lang w:val="nl-NL"/>
        </w:rPr>
        <w:t>Winddruk</w:t>
      </w:r>
    </w:p>
    <w:p>
      <w:pPr>
        <w:pStyle w:val="T1"/>
        <w:jc w:val="start"/>
        <w:rPr>
          <w:lang w:val="nl-NL"/>
        </w:rPr>
      </w:pPr>
      <w:r>
        <w:rPr>
          <w:lang w:val="nl-NL"/>
        </w:rPr>
        <w:t>...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ontworpen door de orgelmaker. De kerkvoogden nemen enkele door de architect van het kerkgebouw, C.B. Posthumus Meyjes uit Amsterdam, geadviseerde wijzigingen niet over.</w:t>
      </w:r>
    </w:p>
    <w:p>
      <w:pPr>
        <w:pStyle w:val="T1"/>
        <w:jc w:val="start"/>
        <w:rPr>
          <w:lang w:val="nl-NL"/>
        </w:rPr>
      </w:pPr>
      <w:r>
        <w:rPr>
          <w:lang w:val="nl-NL"/>
        </w:rPr>
        <w:t>De windvoorziening bevindt zich onderin de orgelkas. Hoewel de huidige dispositie op onderdelen afwijkt van de dispositie volgens contract wijst niets erop dat de wijzigingen t.o.v. het contract uit later tijd dateren.</w:t>
      </w:r>
    </w:p>
    <w:p>
      <w:pPr>
        <w:pStyle w:val="T1"/>
        <w:jc w:val="start"/>
        <w:rPr>
          <w:lang w:val="nl-NL"/>
        </w:rPr>
      </w:pPr>
      <w:r>
        <w:rPr>
          <w:lang w:val="nl-NL"/>
        </w:rPr>
        <w:t>De windladen van HW en BW hebben dezelfde indeling: C en Cis in het midden, het vervolg naar weerszijden in hele tonen aflopend. De indeling van de Pedaallade is als volgt: C-c chromatisch aflopend. De kleinere pijpen in tegenbeweging eveneens chromatisch aflopend, waarbij de cancellen van de grotere pijpen tussen die van de kleinere liggen.</w:t>
      </w:r>
    </w:p>
    <w:p>
      <w:pPr>
        <w:pStyle w:val="T1"/>
        <w:jc w:val="start"/>
        <w:rPr>
          <w:lang w:val="nl-NL"/>
        </w:rPr>
      </w:pPr>
      <w:r>
        <w:rPr>
          <w:lang w:val="nl-NL"/>
        </w:rPr>
        <w:t>De registerknoppen voor de manualen bevinden zich in een horizontale rij boven de klavierbak. Die van het hoofdwerk op de onderste rij, die van het bovenmanuaal daarboven.</w:t>
      </w:r>
    </w:p>
    <w:p>
      <w:pPr>
        <w:pStyle w:val="T1"/>
        <w:jc w:val="start"/>
        <w:rPr>
          <w:lang w:val="nl-NL"/>
        </w:rPr>
      </w:pPr>
      <w:r>
        <w:rPr>
          <w:lang w:val="nl-NL"/>
        </w:rPr>
        <w:t>De registerknoppen van de pedaalregisters zijn rechts van de klavierbak aangebracht, die voor de werktuiglijke registers links. De knoppen voor de combinatiestemmen op het HW zijn roze, die voor de werktuiglijke registers lichtblauw, die voor de overige plaatjes wit.</w:t>
      </w:r>
    </w:p>
    <w:p>
      <w:pPr>
        <w:pStyle w:val="T1"/>
        <w:jc w:val="start"/>
        <w:rPr>
          <w:lang w:val="nl-NL"/>
        </w:rPr>
      </w:pPr>
      <w:r>
        <w:rPr>
          <w:lang w:val="nl-NL"/>
        </w:rPr>
        <w:t>Volgens contract worden de frontpijpen van 87%, de binnenpijpen van 40% tin gemaakt. Voor de houten pijpen wordt grenenhout gebruikt. Al het pijpwerk is fabriekspijpwerk van Duits fabrikaat. Ingeslagen toetsaanduidingen en geperste labia. De grootste pijpen hebben een expression als steminrichting, de kleinere zijn op lengte afgesneden.</w:t>
      </w:r>
    </w:p>
    <w:p>
      <w:pPr>
        <w:pStyle w:val="T1"/>
        <w:jc w:val="start"/>
        <w:rPr>
          <w:lang w:val="nl-NL"/>
        </w:rPr>
      </w:pPr>
      <w:r>
        <w:rPr>
          <w:lang w:val="nl-NL"/>
        </w:rPr>
        <w:t>C-g van de Prestant 8' van het HW staan in het front, de rest op de lade.</w:t>
      </w:r>
    </w:p>
    <w:p>
      <w:pPr>
        <w:pStyle w:val="T1"/>
        <w:jc w:val="start"/>
        <w:rPr/>
      </w:pPr>
      <w:r>
        <w:rPr>
          <w:lang w:val="nl-NL"/>
        </w:rPr>
        <w:t>Het groot octaaf van de Violon spreekt in de Roerfluit. De grootste pijpen van dit register zijn voorzien van freins. Van de Bourdon 16' zijn C-d</w:t>
      </w:r>
      <w:r>
        <w:rPr>
          <w:vertAlign w:val="superscript"/>
          <w:lang w:val="nl-NL"/>
        </w:rPr>
        <w:t>1</w:t>
      </w:r>
      <w:r>
        <w:rPr>
          <w:lang w:val="nl-NL"/>
        </w:rPr>
        <w:t xml:space="preserve"> gedekt, van de Roerfluit 8' het groot octaaf.</w:t>
      </w:r>
    </w:p>
    <w:p>
      <w:pPr>
        <w:pStyle w:val="T1"/>
        <w:jc w:val="start"/>
        <w:rPr>
          <w:lang w:val="nl-NL"/>
        </w:rPr>
      </w:pPr>
      <w:r>
        <w:rPr>
          <w:lang w:val="nl-NL"/>
        </w:rPr>
        <w:t>Het groot octaaf van de Viola di Gamba spreekt in de Salicet 8', het groot octaaf van de Gemshoorn spreekt in de Holfluit 8'.</w:t>
      </w:r>
    </w:p>
    <w:p>
      <w:pPr>
        <w:pStyle w:val="T1"/>
        <w:jc w:val="start"/>
        <w:rPr>
          <w:lang w:val="nl-NL"/>
        </w:rPr>
      </w:pPr>
      <w:r>
        <w:rPr>
          <w:lang w:val="nl-NL"/>
        </w:rPr>
        <w:t>De Vox celeste, vanaf c, zweeft met de Gamba 8'. De Fluit harmoniek is overblazend (octaveergaatje op soldeernaad). De labialen van het Ped zijn alle van grenenhout (Subbas en Bourdon gedekt, Octaafbas open, met kleine loden stemrollen). De bekers van de tongwerken zijn voorzien van stemslitsen. Bekers Clarinet cilindrisch op voet, bekers Fagot eng trechtervormig.</w:t>
      </w:r>
    </w:p>
    <w:p>
      <w:pPr>
        <w:pStyle w:val="T1"/>
        <w:jc w:val="start"/>
        <w:rPr>
          <w:lang w:val="nl-NL"/>
        </w:rPr>
      </w:pPr>
      <w:r>
        <w:rPr>
          <w:lang w:val="nl-NL"/>
        </w:rPr>
        <w:t>Dit orgel, een van de eerste die De Koff maakte als zelfstandig orgelbouwer, verraadt nog in veel opzichten de school waaruit hij afkomstig is. Wijze van aanleg, vulstemsamenstellingen, het afsluiten van de sterke stemmen enzovoorts zijn regelrecht aan J.F. Witte ontleend. Andere zaken, zoals de windvoorziening, de klaviatuur, opstelling Subbas 16' zijn daarentegen voorboden van de eigen weg die De Koff op den duur zal gaan.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2010-03-18T22:59:00Z</dcterms:created>
  <dc:creator>WS1</dc:creator>
  <dc:description/>
  <dc:language>en-US</dc:language>
  <cp:lastModifiedBy>NIvO</cp:lastModifiedBy>
  <dcterms:modified xsi:type="dcterms:W3CDTF">2010-03-23T11:55:00Z</dcterms:modified>
  <cp:revision>4</cp:revision>
  <dc:subject/>
  <dc:title>Utrecht / 1880</dc:title>
</cp:coreProperties>
</file>