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Elden / 1916</w:t>
      </w:r>
    </w:p>
    <w:p>
      <w:pPr>
        <w:pStyle w:val="Heading2"/>
        <w:rPr>
          <w:i w:val="false"/>
          <w:i w:val="false"/>
          <w:iCs/>
        </w:rPr>
      </w:pPr>
      <w:r>
        <w:rPr>
          <w:i w:val="false"/>
          <w:iCs/>
        </w:rPr>
        <w:t>Hervormde Bonifatiuskerk</w:t>
      </w:r>
    </w:p>
    <w:p>
      <w:pPr>
        <w:pStyle w:val="T1"/>
        <w:rPr>
          <w:i/>
          <w:i/>
          <w:iCs/>
          <w:lang w:val="nl-NL"/>
        </w:rPr>
      </w:pPr>
      <w:r>
        <w:rPr>
          <w:i/>
          <w:iCs/>
          <w:lang w:val="nl-NL"/>
        </w:rPr>
      </w:r>
    </w:p>
    <w:p>
      <w:pPr>
        <w:pStyle w:val="T1"/>
        <w:jc w:val="start"/>
        <w:rPr>
          <w:i/>
          <w:i/>
          <w:iCs/>
          <w:lang w:val="nl-NL"/>
        </w:rPr>
      </w:pPr>
      <w:r>
        <w:rPr>
          <w:i/>
          <w:iCs/>
          <w:lang w:val="nl-NL"/>
        </w:rPr>
        <w:t>Witgepleisterde zaalkerk uit 1866 in eclectische stijl naar ontwerp van architect ir Hayward. Toren uit de 14e en 15e eeuw met ingesnoerde naaldspits.</w:t>
      </w:r>
    </w:p>
    <w:p>
      <w:pPr>
        <w:pStyle w:val="T1"/>
        <w:jc w:val="start"/>
        <w:rPr>
          <w:i/>
          <w:i/>
          <w:iCs/>
          <w:lang w:val="nl-NL"/>
        </w:rPr>
      </w:pPr>
      <w:r>
        <w:rPr>
          <w:i/>
          <w:iCs/>
          <w:lang w:val="nl-NL"/>
        </w:rPr>
      </w:r>
    </w:p>
    <w:p>
      <w:pPr>
        <w:pStyle w:val="T1"/>
        <w:rPr>
          <w:lang w:val="nl-NL"/>
        </w:rPr>
      </w:pPr>
      <w:r>
        <w:rPr>
          <w:lang w:val="nl-NL"/>
        </w:rPr>
        <w:t>Kas: 1916</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Voor zijn laatste instrument grijpt Michaël Maarschalkerweerd terug op een voor het orgel van Ursem (1894) geïntroduceerd vlak vijfdelig neorenaissance fronttype; het werd door hem vrijwel uitsluitend toegepast in protestantse kerken. Van alle varianten daarvan is het zes-voets front van Elden het meest rijzig te noemen. Allereerst is dat een gevolg van de keuze in alle velden consequent slechts vijf pijpen te plaatsen. Voorts is het front hier, om de pneumatiek onder de windlade bereikbaar te houden, verhoogd boven de balustrade opgesteld, waartoe een extra reeks hoge ingekaste panelen onder de kransreeks is aangebracht. </w:t>
      </w:r>
      <w:r>
        <w:rPr/>
        <w:t xml:space="preserve">De ruitvormige vlakverdeling van de panelen is bij dit orgel komen te vervallen. De rijzigheid van het front wordt geaccentueerd door drie hier zeer prominent aanwezige vierledige obelisken binnen de gebroken frontons, welke laatste als rijzige rechthoekige driehoeken zijn opgezet. </w:t>
      </w:r>
      <w:r>
        <w:rPr>
          <w:lang w:val="nl-NL"/>
        </w:rPr>
        <w:t xml:space="preserve">Ook de lijsten direct onder deze frontons zijn hoger opgezet dan bij de meeste varianten van dit fronttype, evenals de hier bij alle drie de boogvelden verhoogd uitgevoerde frontstokken. </w:t>
      </w:r>
      <w:r>
        <w:rPr/>
        <w:t xml:space="preserve">De ornamentiek is sober en nog slechts toegepast boven de pijpen in de gedeelde tussenvelden. </w:t>
      </w:r>
      <w:r>
        <w:rPr>
          <w:lang w:val="nl-NL"/>
        </w:rPr>
        <w:t>Het meest de aandacht trekken nog de voluten in gestileerd zaagwerk aan weerszijden van het middenveld, welke worden beantwoord door bescheiden voluutvormen aan de beide uiteinden van de buitenste zijstijlen.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Jos Laus, </w:t>
      </w:r>
      <w:r>
        <w:rPr>
          <w:i/>
          <w:iCs/>
          <w:lang w:val="nl-NL"/>
        </w:rPr>
        <w:t>Maarschalkerweerd &amp; Zoon Orgelmakers te Utrecht</w:t>
      </w:r>
      <w:r>
        <w:rPr>
          <w:lang w:val="nl-NL"/>
        </w:rPr>
        <w:t>. Alphen aan den Rijn, 2008, 312-313.</w:t>
      </w:r>
    </w:p>
    <w:p>
      <w:pPr>
        <w:pStyle w:val="T3Lit"/>
        <w:rPr/>
      </w:pPr>
      <w:r>
        <w:rPr>
          <w:i/>
          <w:iCs/>
          <w:lang w:val="nl-NL"/>
        </w:rPr>
        <w:t>Het Orgel</w:t>
      </w:r>
      <w:r>
        <w:rPr>
          <w:lang w:val="nl-NL"/>
        </w:rPr>
        <w:t>,</w:t>
      </w:r>
      <w:r>
        <w:rPr>
          <w:i/>
          <w:iCs/>
          <w:lang w:val="nl-NL"/>
        </w:rPr>
        <w:t xml:space="preserve"> </w:t>
      </w:r>
      <w:r>
        <w:rPr>
          <w:lang w:val="nl-NL"/>
        </w:rPr>
        <w:t>14/4 (1917), 24.</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Pels &amp; Van Leeuwen Orgelbouw.</w:t>
      </w:r>
    </w:p>
    <w:p>
      <w:pPr>
        <w:pStyle w:val="T3Lit"/>
        <w:rPr>
          <w:lang w:val="nl-NL"/>
        </w:rPr>
      </w:pPr>
      <w:r>
        <w:rPr>
          <w:lang w:val="nl-NL"/>
        </w:rPr>
        <w:t>Orgelarchief Universiteit Utrecht, Maarschalkerweerd-archief.</w:t>
      </w:r>
    </w:p>
    <w:p>
      <w:pPr>
        <w:pStyle w:val="T3Lit"/>
        <w:rPr>
          <w:lang w:val="nl-NL"/>
        </w:rPr>
      </w:pPr>
      <w:r>
        <w:rPr>
          <w:lang w:val="nl-NL"/>
        </w:rPr>
      </w:r>
    </w:p>
    <w:p>
      <w:pPr>
        <w:pStyle w:val="T3Lit"/>
        <w:rPr>
          <w:lang w:val="nl-NL"/>
        </w:rPr>
      </w:pPr>
      <w:r>
        <w:rPr>
          <w:lang w:val="nl-NL"/>
        </w:rPr>
        <w:t>Monumentnummer 8385</w:t>
      </w:r>
    </w:p>
    <w:p>
      <w:pPr>
        <w:pStyle w:val="T3Lit"/>
        <w:rPr>
          <w:lang w:val="nl-NL"/>
        </w:rPr>
      </w:pPr>
      <w:r>
        <w:rPr>
          <w:lang w:val="nl-NL"/>
        </w:rPr>
        <w:t>Orgelnummer 424</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jc w:val="start"/>
        <w:rPr/>
      </w:pPr>
      <w:r>
        <w:rPr/>
        <w:t>Bouwer</w:t>
      </w:r>
    </w:p>
    <w:p>
      <w:pPr>
        <w:pStyle w:val="T1"/>
        <w:jc w:val="start"/>
        <w:rPr/>
      </w:pPr>
      <w:r>
        <w:rPr/>
        <w:t>Maarschalkerweerd &amp; Zoon</w:t>
      </w:r>
    </w:p>
    <w:p>
      <w:pPr>
        <w:pStyle w:val="T1"/>
        <w:jc w:val="start"/>
        <w:rPr/>
      </w:pPr>
      <w:r>
        <w:rPr/>
      </w:r>
    </w:p>
    <w:p>
      <w:pPr>
        <w:pStyle w:val="T1"/>
        <w:jc w:val="start"/>
        <w:rPr>
          <w:lang w:val="nl-NL"/>
        </w:rPr>
      </w:pPr>
      <w:r>
        <w:rPr>
          <w:lang w:val="nl-NL"/>
        </w:rPr>
        <w:t>Jaar van oplevering</w:t>
      </w:r>
    </w:p>
    <w:p>
      <w:pPr>
        <w:pStyle w:val="T1"/>
        <w:jc w:val="start"/>
        <w:rPr>
          <w:lang w:val="nl-NL"/>
        </w:rPr>
      </w:pPr>
      <w:r>
        <w:rPr>
          <w:lang w:val="nl-NL"/>
        </w:rPr>
        <w:t>1916</w:t>
      </w:r>
    </w:p>
    <w:p>
      <w:pPr>
        <w:pStyle w:val="T1"/>
        <w:jc w:val="start"/>
        <w:rPr>
          <w:lang w:val="nl-NL"/>
        </w:rPr>
      </w:pPr>
      <w:r>
        <w:rPr>
          <w:lang w:val="nl-NL"/>
        </w:rPr>
      </w:r>
    </w:p>
    <w:p>
      <w:pPr>
        <w:pStyle w:val="T1"/>
        <w:jc w:val="start"/>
        <w:rPr/>
      </w:pPr>
      <w:r>
        <w:rPr/>
        <w:t>Pels &amp; Van Leeuwen 2003</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Pels &amp; Van Leeuwen 2004</w:t>
      </w:r>
    </w:p>
    <w:p>
      <w:pPr>
        <w:pStyle w:val="T1"/>
        <w:numPr>
          <w:ilvl w:val="0"/>
          <w:numId w:val="2"/>
        </w:numPr>
        <w:jc w:val="start"/>
        <w:rPr>
          <w:lang w:val="nl-NL"/>
        </w:rPr>
      </w:pPr>
      <w:r>
        <w:rPr>
          <w:lang w:val="nl-NL"/>
        </w:rPr>
        <w:t>membranen vernieuwd</w:t>
      </w:r>
    </w:p>
    <w:p>
      <w:pPr>
        <w:pStyle w:val="T1"/>
        <w:numPr>
          <w:ilvl w:val="0"/>
          <w:numId w:val="2"/>
        </w:numPr>
        <w:jc w:val="start"/>
        <w:rPr>
          <w:lang w:val="nl-NL"/>
        </w:rPr>
      </w:pPr>
      <w:r>
        <w:rPr>
          <w:lang w:val="nl-NL"/>
        </w:rPr>
        <w:t>transmissie- en koppelblok gerestaureerd</w:t>
      </w:r>
    </w:p>
    <w:p>
      <w:pPr>
        <w:pStyle w:val="T1"/>
        <w:numPr>
          <w:ilvl w:val="0"/>
          <w:numId w:val="2"/>
        </w:numPr>
        <w:jc w:val="start"/>
        <w:rPr>
          <w:lang w:val="nl-NL"/>
        </w:rPr>
      </w:pPr>
      <w:r>
        <w:rPr>
          <w:lang w:val="nl-NL"/>
        </w:rPr>
        <w:t>buitenbelering balg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386" w:type="dxa"/>
        <w:jc w:val="start"/>
        <w:tblInd w:w="-70" w:type="dxa"/>
        <w:tblLayout w:type="fixed"/>
        <w:tblCellMar>
          <w:top w:w="0" w:type="dxa"/>
          <w:start w:w="70" w:type="dxa"/>
          <w:bottom w:w="0" w:type="dxa"/>
          <w:end w:w="70" w:type="dxa"/>
        </w:tblCellMar>
      </w:tblPr>
      <w:tblGrid>
        <w:gridCol w:w="1465"/>
        <w:gridCol w:w="850"/>
        <w:gridCol w:w="937"/>
        <w:gridCol w:w="1134"/>
      </w:tblGrid>
      <w:tr>
        <w:trPr/>
        <w:tc>
          <w:tcPr>
            <w:tcW w:w="1465" w:type="dxa"/>
            <w:tcBorders/>
          </w:tcPr>
          <w:p>
            <w:pPr>
              <w:pStyle w:val="T4dispositie"/>
              <w:rPr>
                <w:i/>
                <w:i/>
                <w:iCs/>
              </w:rPr>
            </w:pPr>
            <w:r>
              <w:rPr>
                <w:i/>
                <w:iCs/>
              </w:rPr>
              <w:t>Manuaal</w:t>
            </w:r>
          </w:p>
          <w:p>
            <w:pPr>
              <w:pStyle w:val="T4dispositie"/>
              <w:rPr/>
            </w:pPr>
            <w:r>
              <w:rPr/>
              <w:t>7 stemmen</w:t>
            </w:r>
          </w:p>
          <w:p>
            <w:pPr>
              <w:pStyle w:val="T4dispositie"/>
              <w:rPr/>
            </w:pPr>
            <w:r>
              <w:rPr/>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Holfluit</w:t>
            </w:r>
          </w:p>
          <w:p>
            <w:pPr>
              <w:pStyle w:val="T4dispositie"/>
              <w:rPr>
                <w:lang w:val="fr-FR"/>
              </w:rPr>
            </w:pPr>
            <w:r>
              <w:rPr>
                <w:lang w:val="fr-FR"/>
              </w:rPr>
              <w:t>Gamba</w:t>
            </w:r>
          </w:p>
          <w:p>
            <w:pPr>
              <w:pStyle w:val="T4dispositie"/>
              <w:rPr>
                <w:lang w:val="fr-FR"/>
              </w:rPr>
            </w:pPr>
            <w:r>
              <w:rPr>
                <w:lang w:val="fr-FR"/>
              </w:rPr>
              <w:t>Voix Céleste</w:t>
            </w:r>
          </w:p>
          <w:p>
            <w:pPr>
              <w:pStyle w:val="T4dispositie"/>
              <w:rPr/>
            </w:pPr>
            <w:r>
              <w:rPr/>
              <w:t>Octaaf</w:t>
            </w:r>
          </w:p>
          <w:p>
            <w:pPr>
              <w:pStyle w:val="T4dispositie"/>
              <w:rPr/>
            </w:pPr>
            <w:r>
              <w:rPr/>
              <w:t>Doublet</w:t>
            </w:r>
          </w:p>
        </w:tc>
        <w:tc>
          <w:tcPr>
            <w:tcW w:w="850" w:type="dxa"/>
            <w:tcBorders/>
          </w:tcPr>
          <w:p>
            <w:pPr>
              <w:pStyle w:val="T4dispositie"/>
              <w:snapToGrid w:val="false"/>
              <w:rPr/>
            </w:pPr>
            <w:r>
              <w:rPr/>
            </w:r>
          </w:p>
          <w:p>
            <w:pPr>
              <w:pStyle w:val="T4dispositie"/>
              <w:rPr/>
            </w:pPr>
            <w:r>
              <w:rPr/>
            </w:r>
          </w:p>
          <w:p>
            <w:pPr>
              <w:pStyle w:val="T4dispositie"/>
              <w:rPr/>
            </w:pPr>
            <w:r>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4</w:t>
            </w:r>
            <w:r>
              <w:rPr/>
              <w:t>'</w:t>
            </w:r>
          </w:p>
          <w:p>
            <w:pPr>
              <w:pStyle w:val="T4dispositie"/>
              <w:rPr>
                <w:lang w:val="nl-NL"/>
              </w:rPr>
            </w:pPr>
            <w:r>
              <w:rPr>
                <w:lang w:val="nl-NL"/>
              </w:rPr>
              <w:t>1-2 st.</w:t>
            </w:r>
          </w:p>
        </w:tc>
        <w:tc>
          <w:tcPr>
            <w:tcW w:w="937"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1134"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pPr>
            <w:r>
              <w:rPr>
                <w:lang w:val="nl-NL"/>
              </w:rPr>
              <w:t>16</w:t>
            </w:r>
            <w:r>
              <w:rPr/>
              <w:t>'</w:t>
            </w:r>
            <w:r>
              <w:rPr>
                <w:lang w:val="nl-NL"/>
              </w:rPr>
              <w:t xml:space="preserve">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pPr>
      <w:r>
        <w:rPr/>
        <w:t>pedaalkoppel</w:t>
      </w:r>
    </w:p>
    <w:p>
      <w:pPr>
        <w:pStyle w:val="T1"/>
        <w:jc w:val="start"/>
        <w:rPr/>
      </w:pPr>
      <w:r>
        <w:rPr/>
        <w:t>ventiel</w:t>
      </w:r>
    </w:p>
    <w:p>
      <w:pPr>
        <w:pStyle w:val="T1"/>
        <w:jc w:val="start"/>
        <w:rPr>
          <w:lang w:val="nl-NL"/>
        </w:rPr>
      </w:pPr>
      <w:r>
        <w:rPr>
          <w:lang w:val="nl-NL"/>
        </w:rPr>
        <w:t>vaste combinaties: P-F-Oplosser</w:t>
      </w:r>
    </w:p>
    <w:p>
      <w:pPr>
        <w:pStyle w:val="T1"/>
        <w:jc w:val="start"/>
        <w:rPr>
          <w:lang w:val="nl-NL"/>
        </w:rPr>
      </w:pPr>
      <w:r>
        <w:rPr>
          <w:lang w:val="nl-NL"/>
        </w:rPr>
      </w:r>
    </w:p>
    <w:p>
      <w:pPr>
        <w:pStyle w:val="T1"/>
        <w:jc w:val="start"/>
        <w:rPr/>
      </w:pPr>
      <w:r>
        <w:rPr/>
        <w:t>Samenstelling vulstem</w:t>
      </w:r>
    </w:p>
    <w:tbl>
      <w:tblPr>
        <w:tblW w:w="2139" w:type="dxa"/>
        <w:jc w:val="start"/>
        <w:tblInd w:w="-70" w:type="dxa"/>
        <w:tblLayout w:type="fixed"/>
        <w:tblCellMar>
          <w:top w:w="0" w:type="dxa"/>
          <w:start w:w="70" w:type="dxa"/>
          <w:bottom w:w="0" w:type="dxa"/>
          <w:end w:w="70" w:type="dxa"/>
        </w:tblCellMar>
      </w:tblPr>
      <w:tblGrid>
        <w:gridCol w:w="1014"/>
        <w:gridCol w:w="404"/>
        <w:gridCol w:w="721"/>
      </w:tblGrid>
      <w:tr>
        <w:trPr/>
        <w:tc>
          <w:tcPr>
            <w:tcW w:w="1014" w:type="dxa"/>
            <w:tcBorders/>
          </w:tcPr>
          <w:p>
            <w:pPr>
              <w:pStyle w:val="T1"/>
              <w:jc w:val="start"/>
              <w:rPr>
                <w:lang w:val="fr-FR"/>
              </w:rPr>
            </w:pPr>
            <w:r>
              <w:rPr>
                <w:lang w:val="fr-FR"/>
              </w:rPr>
              <w:t>Doublet</w:t>
            </w:r>
          </w:p>
        </w:tc>
        <w:tc>
          <w:tcPr>
            <w:tcW w:w="404" w:type="dxa"/>
            <w:tcBorders/>
          </w:tcPr>
          <w:p>
            <w:pPr>
              <w:pStyle w:val="T4dispositie"/>
              <w:rPr/>
            </w:pPr>
            <w:r>
              <w:rPr/>
              <w:t>C</w:t>
            </w:r>
          </w:p>
          <w:p>
            <w:pPr>
              <w:pStyle w:val="T4dispositie"/>
              <w:rPr/>
            </w:pPr>
            <w:r>
              <w:rPr/>
              <w:t>2</w:t>
            </w:r>
          </w:p>
        </w:tc>
        <w:tc>
          <w:tcPr>
            <w:tcW w:w="721" w:type="dxa"/>
            <w:tcBorders/>
          </w:tcPr>
          <w:p>
            <w:pPr>
              <w:pStyle w:val="T4dispositie"/>
              <w:rPr/>
            </w:pPr>
            <w:r>
              <w:rPr/>
              <w:t>c</w:t>
            </w:r>
          </w:p>
          <w:p>
            <w:pPr>
              <w:pStyle w:val="T4dispositie"/>
              <w:rPr/>
            </w:pPr>
            <w:r>
              <w:rPr/>
              <w:t>2 2/3</w:t>
            </w:r>
          </w:p>
          <w:p>
            <w:pPr>
              <w:pStyle w:val="T4dispositie"/>
              <w:rPr/>
            </w:pPr>
            <w:r>
              <w:rPr/>
              <w:t>2</w:t>
            </w:r>
          </w:p>
        </w:tc>
      </w:tr>
    </w:tbl>
    <w:p>
      <w:pPr>
        <w:pStyle w:val="T1"/>
        <w:jc w:val="start"/>
        <w:rPr>
          <w:lang w:val="fr-FR"/>
        </w:rPr>
      </w:pPr>
      <w:r>
        <w:rPr>
          <w:lang w:val="fr-FR"/>
        </w:rPr>
      </w:r>
    </w:p>
    <w:p>
      <w:pPr>
        <w:pStyle w:val="T1"/>
        <w:jc w:val="start"/>
        <w:rPr/>
      </w:pPr>
      <w:r>
        <w:rPr/>
        <w:t xml:space="preserve">Toonhoogte </w:t>
      </w:r>
    </w:p>
    <w:p>
      <w:pPr>
        <w:pStyle w:val="T1"/>
        <w:jc w:val="start"/>
        <w:rPr/>
      </w:pPr>
      <w:r>
        <w:rPr/>
        <w:t>a</w:t>
      </w:r>
      <w:r>
        <w:rPr>
          <w:vertAlign w:val="superscript"/>
        </w:rPr>
        <w:t>1</w:t>
      </w:r>
      <w:r>
        <w:rPr/>
        <w:t xml:space="preserve"> = 435 Hz</w:t>
      </w:r>
    </w:p>
    <w:p>
      <w:pPr>
        <w:pStyle w:val="T1"/>
        <w:jc w:val="start"/>
        <w:rPr/>
      </w:pPr>
      <w:r>
        <w:rPr/>
        <w:t xml:space="preserve">Temperatuur </w:t>
      </w:r>
    </w:p>
    <w:p>
      <w:pPr>
        <w:pStyle w:val="T1"/>
        <w:jc w:val="start"/>
        <w:rPr/>
      </w:pPr>
      <w:r>
        <w:rPr/>
        <w:t>evenredig zwevend</w:t>
      </w:r>
    </w:p>
    <w:p>
      <w:pPr>
        <w:pStyle w:val="T1"/>
        <w:jc w:val="start"/>
        <w:rPr/>
      </w:pPr>
      <w:r>
        <w:rPr/>
      </w:r>
    </w:p>
    <w:p>
      <w:pPr>
        <w:pStyle w:val="T1"/>
        <w:jc w:val="start"/>
        <w:rPr/>
      </w:pPr>
      <w:r>
        <w:rPr/>
        <w:t>Manuaalomvang</w:t>
      </w:r>
    </w:p>
    <w:p>
      <w:pPr>
        <w:pStyle w:val="T1"/>
        <w:jc w:val="start"/>
        <w:rPr/>
      </w:pPr>
      <w:r>
        <w:rPr/>
        <w:t>C-f</w:t>
      </w:r>
      <w:r>
        <w:rPr>
          <w:vertAlign w:val="superscript"/>
        </w:rPr>
        <w:t>3</w:t>
      </w:r>
    </w:p>
    <w:p>
      <w:pPr>
        <w:pStyle w:val="T1"/>
        <w:jc w:val="start"/>
        <w:rPr/>
      </w:pPr>
      <w:r>
        <w:rPr/>
        <w:t>Pedaalomvang</w:t>
      </w:r>
    </w:p>
    <w:p>
      <w:pPr>
        <w:pStyle w:val="T1"/>
        <w:jc w:val="start"/>
        <w:rPr/>
      </w:pPr>
      <w:r>
        <w:rPr/>
        <w:t>C-d</w:t>
      </w:r>
      <w:r>
        <w:rPr>
          <w:vertAlign w:val="superscript"/>
        </w:rPr>
        <w:t>1</w:t>
      </w:r>
    </w:p>
    <w:p>
      <w:pPr>
        <w:pStyle w:val="T1"/>
        <w:jc w:val="start"/>
        <w:rPr/>
      </w:pPr>
      <w:r>
        <w:rPr/>
      </w:r>
    </w:p>
    <w:p>
      <w:pPr>
        <w:pStyle w:val="T1"/>
        <w:jc w:val="start"/>
        <w:rPr/>
      </w:pPr>
      <w:r>
        <w:rPr/>
        <w:t>Windvoorziening</w:t>
      </w:r>
    </w:p>
    <w:p>
      <w:pPr>
        <w:pStyle w:val="T1"/>
        <w:jc w:val="start"/>
        <w:rPr/>
      </w:pPr>
      <w:r>
        <w:rPr/>
        <w:t>magazijnbalg met twee schepbalgen met basculetrede</w:t>
      </w:r>
    </w:p>
    <w:p>
      <w:pPr>
        <w:pStyle w:val="T1"/>
        <w:jc w:val="start"/>
        <w:rPr/>
      </w:pPr>
      <w:r>
        <w:rPr/>
        <w:t>Winddruk</w:t>
      </w:r>
    </w:p>
    <w:p>
      <w:pPr>
        <w:pStyle w:val="T1"/>
        <w:jc w:val="start"/>
        <w:rPr/>
      </w:pPr>
      <w:r>
        <w:rPr/>
        <w:t>niet gemeten</w:t>
      </w:r>
    </w:p>
    <w:p>
      <w:pPr>
        <w:pStyle w:val="T1"/>
        <w:jc w:val="start"/>
        <w:rPr/>
      </w:pPr>
      <w:r>
        <w:rPr/>
      </w:r>
    </w:p>
    <w:p>
      <w:pPr>
        <w:pStyle w:val="T1"/>
        <w:jc w:val="start"/>
        <w:rPr/>
      </w:pPr>
      <w:r>
        <w:rPr/>
        <w:t>Plaats klaviatuur</w:t>
      </w:r>
    </w:p>
    <w:p>
      <w:pPr>
        <w:pStyle w:val="T1"/>
        <w:jc w:val="start"/>
        <w:rPr/>
      </w:pPr>
      <w:r>
        <w:rPr/>
        <w:t>rechterzijde</w:t>
      </w:r>
    </w:p>
    <w:p>
      <w:pPr>
        <w:pStyle w:val="T1"/>
        <w:jc w:val="start"/>
        <w:rPr/>
      </w:pPr>
      <w:r>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Hoewel het naamplaatje de naam Maarschalkerweerd &amp; Zoon vermeldt werd dit orgel na het overlijden van Michael Maarschalkerweerd in 1915 door zijn medewerkers in december 1916 opgeleverd. </w:t>
      </w:r>
      <w:r>
        <w:rPr/>
        <w:t>Het pneumatische membraanlade-instrument bleef vrijwel compleet bewaard.</w:t>
      </w:r>
    </w:p>
    <w:p>
      <w:pPr>
        <w:pStyle w:val="T1"/>
        <w:jc w:val="start"/>
        <w:rPr/>
      </w:pPr>
      <w:r>
        <w:rPr>
          <w:lang w:val="nl-NL"/>
        </w:rPr>
        <w:t xml:space="preserve">De registertrekkers bevinden zich in een horizontale rij direct boven het handklavier, met van links naar rechts pedaalkoppel, Subbas, manuaalregisters en ventiel. </w:t>
      </w:r>
      <w:r>
        <w:rPr/>
        <w:t xml:space="preserve">Voor het pedaal zijn groene, voor het manuaal witte schildjes toegepast. </w:t>
      </w:r>
      <w:r>
        <w:rPr>
          <w:lang w:val="nl-NL"/>
        </w:rPr>
        <w:t>De vaste combinaties worden bediend via drukknoppen in de klavierlijst; P betreft de registers Holfluit, Gamba en Subbas en F behalve de Voix Céleste.</w:t>
      </w:r>
    </w:p>
    <w:p>
      <w:pPr>
        <w:pStyle w:val="T1"/>
        <w:jc w:val="start"/>
        <w:rPr/>
      </w:pPr>
      <w:r>
        <w:rPr>
          <w:lang w:val="nl-NL"/>
        </w:rPr>
        <w:t xml:space="preserve">De magazijnbalg met schepbalgen en basculetrede bevindt zich in open opstelling dwars achter het orgel. </w:t>
      </w:r>
      <w:r>
        <w:rPr/>
        <w:t xml:space="preserve">De manuaallade is ingedeeld in hele tonen vanuit het midden aflopend met de Cis-zijde boven de klaviatuur en de registerkast in het midden. </w:t>
      </w:r>
      <w:r>
        <w:rPr>
          <w:lang w:val="nl-NL"/>
        </w:rPr>
        <w:t>Langs de achterwand is een transmissielade voor Bourdon/Subbas 16' aanwezig, C-g in hele tonen vanuit het midden aflopend (Cis-kant aan klaviatuurzijde), gis-d</w:t>
      </w:r>
      <w:r>
        <w:rPr>
          <w:vertAlign w:val="superscript"/>
          <w:lang w:val="nl-NL"/>
        </w:rPr>
        <w:t>1</w:t>
      </w:r>
      <w:r>
        <w:rPr>
          <w:lang w:val="nl-NL"/>
        </w:rPr>
        <w:t xml:space="preserve"> teruglopend verhoogd daarvoor opgesteld.</w:t>
      </w:r>
    </w:p>
    <w:p>
      <w:pPr>
        <w:pStyle w:val="T1"/>
        <w:jc w:val="start"/>
        <w:rPr/>
      </w:pPr>
      <w:r>
        <w:rPr>
          <w:lang w:val="nl-NL"/>
        </w:rPr>
        <w:t xml:space="preserve">C-G van de Prestant 8' zijn van naaldhout met houten stemschuiven en rolbaarden. Gis-c (middenveld) en cis-b (zijvelden) staan in het front, het vervolg staat op de lade (met zijbaarden). De gedeelde tussenvelden zijn loos. </w:t>
      </w:r>
      <w:r>
        <w:rPr/>
        <w:t xml:space="preserve">Het metalen binnenpijpwerk bestaat uit waarschijnlijk toegeleverd materiaal met spits geritste bovenlabia zonder onderlabiumvorm. Het cilindrisch open binnenpijpwerk is merendeels voorzien van expressions. </w:t>
      </w:r>
      <w:r>
        <w:rPr>
          <w:lang w:val="nl-NL"/>
        </w:rPr>
        <w:t>Het gecombineerde groot octaaf van Holfluit 8' en Gamba 8' is van naaldhout. De Gamba en de Voix Céleste (vanaf f) hebben corpora van hoog tingehalte, freins tot en met f</w:t>
      </w:r>
      <w:r>
        <w:rPr>
          <w:vertAlign w:val="superscript"/>
          <w:lang w:val="nl-NL"/>
        </w:rPr>
        <w:t>1</w:t>
      </w:r>
      <w:r>
        <w:rPr>
          <w:lang w:val="nl-NL"/>
        </w:rPr>
        <w:t xml:space="preserve"> respectievelijk h</w:t>
      </w:r>
      <w:r>
        <w:rPr>
          <w:vertAlign w:val="superscript"/>
          <w:lang w:val="nl-NL"/>
        </w:rPr>
        <w:t>1</w:t>
      </w:r>
      <w:r>
        <w:rPr>
          <w:lang w:val="nl-NL"/>
        </w:rPr>
        <w:t xml:space="preserve"> en vervolgens zijbaarden. De Octaaf 4' heeft expressions en zijbaarden tot en met h</w:t>
      </w:r>
      <w:r>
        <w:rPr>
          <w:vertAlign w:val="superscript"/>
          <w:lang w:val="nl-NL"/>
        </w:rPr>
        <w:t>1</w:t>
      </w:r>
      <w:r>
        <w:rPr>
          <w:lang w:val="nl-NL"/>
        </w:rPr>
        <w:t>. Het hoogste koor van de Doublet (C-a expressions, C-F zijbaarden) is wijd cilindrisch open, het laagste koor (c-b</w:t>
      </w:r>
      <w:r>
        <w:rPr>
          <w:vertAlign w:val="superscript"/>
          <w:lang w:val="nl-NL"/>
        </w:rPr>
        <w:t>2</w:t>
      </w:r>
      <w:r>
        <w:rPr>
          <w:lang w:val="nl-NL"/>
        </w:rPr>
        <w:t xml:space="preserve"> zijbaarden) is conisch open (c-h expressions, c</w:t>
      </w:r>
      <w:r>
        <w:rPr>
          <w:vertAlign w:val="superscript"/>
          <w:lang w:val="nl-NL"/>
        </w:rPr>
        <w:t>1</w:t>
      </w:r>
      <w:r>
        <w:rPr>
          <w:lang w:val="nl-NL"/>
        </w:rPr>
        <w:t>-f</w:t>
      </w:r>
      <w:r>
        <w:rPr>
          <w:vertAlign w:val="superscript"/>
          <w:lang w:val="nl-NL"/>
        </w:rPr>
        <w:t>3</w:t>
      </w:r>
      <w:r>
        <w:rPr>
          <w:lang w:val="nl-NL"/>
        </w:rPr>
        <w:t xml:space="preserve"> overblazend op lengte).</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EquationCaption">
    <w:name w:val="_Equation Captio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rPr>
      <w:rFonts w:cs="Times New Roman"/>
      <w:sz w:val="20"/>
    </w:rPr>
  </w:style>
  <w:style w:type="paragraph" w:styleId="Footnote">
    <w:name w:val="Footnote Text"/>
    <w:basedOn w:val="Normal"/>
    <w:pPr/>
    <w:rPr>
      <w:rFonts w:cs="Times New Roman"/>
      <w:sz w:val="20"/>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2010-03-19T22:08:00Z</dcterms:created>
  <dc:creator>WS1</dc:creator>
  <dc:description/>
  <dc:language>en-US</dc:language>
  <cp:lastModifiedBy>NIvO</cp:lastModifiedBy>
  <dcterms:modified xsi:type="dcterms:W3CDTF">2010-03-23T20:00:00Z</dcterms:modified>
  <cp:revision>4</cp:revision>
  <dc:subject/>
  <dc:title>Heeten/1829/2000</dc:title>
</cp:coreProperties>
</file>