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Terzool (Tersoal) / 1916</w:t>
      </w:r>
    </w:p>
    <w:p>
      <w:pPr>
        <w:pStyle w:val="Heading2"/>
        <w:jc w:val="both"/>
        <w:rPr>
          <w:i w:val="false"/>
          <w:i w:val="false"/>
        </w:rPr>
      </w:pPr>
      <w:r>
        <w:rPr>
          <w:i w:val="false"/>
        </w:rPr>
        <w:t>Voormalige Gereformeerde Kerk</w:t>
      </w:r>
    </w:p>
    <w:p>
      <w:pPr>
        <w:pStyle w:val="T1"/>
        <w:jc w:val="start"/>
        <w:rPr>
          <w:i/>
          <w:i/>
          <w:iCs/>
        </w:rPr>
      </w:pPr>
      <w:r>
        <w:rPr>
          <w:i/>
          <w:iCs/>
        </w:rPr>
      </w:r>
    </w:p>
    <w:p>
      <w:pPr>
        <w:pStyle w:val="T1"/>
        <w:jc w:val="start"/>
        <w:rPr>
          <w:i/>
          <w:i/>
          <w:iCs/>
        </w:rPr>
      </w:pPr>
      <w:r>
        <w:rPr>
          <w:i/>
          <w:iCs/>
        </w:rPr>
        <w:t>Rechtgesloten zaalkerk uit 1913. Interieur uit de bouwtijd, goed geconserveerd.</w:t>
      </w:r>
    </w:p>
    <w:p>
      <w:pPr>
        <w:pStyle w:val="T1"/>
        <w:jc w:val="start"/>
        <w:rPr>
          <w:i/>
          <w:i/>
          <w:iCs/>
        </w:rPr>
      </w:pPr>
      <w:r>
        <w:rPr>
          <w:i/>
          <w:iCs/>
        </w:rPr>
      </w:r>
    </w:p>
    <w:p>
      <w:pPr>
        <w:pStyle w:val="T1"/>
        <w:jc w:val="start"/>
        <w:rPr>
          <w:lang w:val="nl-NL"/>
        </w:rPr>
      </w:pPr>
      <w:r>
        <w:rPr>
          <w:lang w:val="nl-NL"/>
        </w:rPr>
        <w:t>Kas: 1916</w:t>
      </w:r>
    </w:p>
    <w:p>
      <w:pPr>
        <w:pStyle w:val="T1"/>
        <w:jc w:val="start"/>
        <w:rPr>
          <w:lang w:val="nl-NL"/>
        </w:rPr>
      </w:pPr>
      <w:r>
        <w:rPr>
          <w:lang w:val="nl-NL"/>
        </w:rPr>
      </w:r>
    </w:p>
    <w:p>
      <w:pPr>
        <w:pStyle w:val="Heading2"/>
        <w:jc w:val="both"/>
        <w:rPr>
          <w:i w:val="false"/>
          <w:i w:val="false"/>
        </w:rPr>
      </w:pPr>
      <w:r>
        <w:rPr>
          <w:i w:val="false"/>
        </w:rPr>
        <w:t>Kunsthistorische aspecten</w:t>
      </w:r>
    </w:p>
    <w:p>
      <w:pPr>
        <w:pStyle w:val="T2Kunst"/>
        <w:jc w:val="start"/>
        <w:rPr/>
      </w:pPr>
      <w:r>
        <w:rPr>
          <w:lang w:val="nl-NL"/>
        </w:rPr>
        <w:t xml:space="preserve">Een curieus front in het oeuvre van de firma Bakker &amp; Timmenga, omdat hier de werelden van het elders bestelde ‘catalogus-front’ en de eigen front-traditie elkaar ontmoeten. De hoofdindeling van het front verraadt het fronttype dat in het tweede decennium van de 20e eeuw zijn intrede doet in het werk van de firma. </w:t>
      </w:r>
      <w:r>
        <w:rPr/>
        <w:t xml:space="preserve">Het is herkenbaar aan de indeling met drie ronde torens en ongedeelde, verhoogd geplaatste tussenvelden. Kenmerkend is voorts de uitvoering van de afsluitende lijst boven de velden. Door die kenmerken schaart het front zich in een reeks van veelvuldig verschijnende congruente fronten, die ook in het werk van bijvoorbeeld Proper en Dekker voorkomen. </w:t>
      </w:r>
      <w:r>
        <w:rPr>
          <w:lang w:val="nl-NL"/>
        </w:rPr>
        <w:t xml:space="preserve">Maar de bij dit front behorende ornamentiek, welke doorgaans vage Jugendstil-eigenschappen kan worden toegedicht, ontbreekt in Terzool geheel. </w:t>
      </w:r>
      <w:r>
        <w:rPr/>
        <w:t>In plaats daarvan zijn klassieke gesneden ornamenten aangebracht die tot de traditie van de firma behoren en in deze vorm bij alle kleinere vijfledige fronten met gedeelde tussenvelden te vinden zijn.</w:t>
      </w:r>
    </w:p>
    <w:p>
      <w:pPr>
        <w:pStyle w:val="T2Kunst"/>
        <w:jc w:val="start"/>
        <w:rPr/>
      </w:pPr>
      <w:r>
        <w:rPr/>
        <w:t xml:space="preserve">Onder de drie torens </w:t>
      </w:r>
      <w:r>
        <w:rPr>
          <w:i/>
          <w:iCs/>
        </w:rPr>
        <w:t>culs-de-lampe</w:t>
      </w:r>
      <w:r>
        <w:rPr/>
        <w:t xml:space="preserve"> met omgekrulde bladvormen, boven in de torens luchtig snijwerk met voluutvormen, blad- en bloemmotieven, in het midden over de kaprand heen gewerkt. Bovenaan in de velden een dunne slinger van langgerekte voluten met bladmotieven. </w:t>
      </w:r>
      <w:r>
        <w:rPr>
          <w:lang w:val="nl-NL"/>
        </w:rPr>
        <w:t>De opzetstukken op de torenkappen hebben ook weer de gebruikelijke vorm, vullend over de gehele breedte, maar met een sterk verticaal accent op de bekronende delen in het hart. Palmetten op de zijtorens en een lier op de middentoren. De vleugels vormen een samenstel van S- en C-voluten, omrankt met bladmotieven en een groot aantal bloemen.</w:t>
      </w:r>
    </w:p>
    <w:p>
      <w:pPr>
        <w:pStyle w:val="T1"/>
        <w:jc w:val="start"/>
        <w:rPr>
          <w:lang w:val="nl-NL"/>
        </w:rPr>
      </w:pPr>
      <w:r>
        <w:rPr>
          <w:lang w:val="nl-NL"/>
        </w:rPr>
      </w:r>
    </w:p>
    <w:p>
      <w:pPr>
        <w:pStyle w:val="T3Lit"/>
        <w:jc w:val="start"/>
        <w:rPr>
          <w:lang w:val="nl-NL"/>
        </w:rPr>
      </w:pPr>
      <w:r>
        <w:rPr>
          <w:b/>
          <w:lang w:val="nl-NL"/>
        </w:rPr>
        <w:t>Literatuur</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209.</w:t>
      </w:r>
    </w:p>
    <w:p>
      <w:pPr>
        <w:pStyle w:val="T3Lit"/>
        <w:rPr>
          <w:lang w:val="nl-NL"/>
        </w:rPr>
      </w:pPr>
      <w:r>
        <w:rPr>
          <w:lang w:val="nl-NL"/>
        </w:rPr>
      </w:r>
    </w:p>
    <w:p>
      <w:pPr>
        <w:pStyle w:val="T3Lit"/>
        <w:jc w:val="start"/>
        <w:rPr>
          <w:lang w:val="nl-NL"/>
        </w:rPr>
      </w:pPr>
      <w:r>
        <w:rPr>
          <w:lang w:val="nl-NL"/>
        </w:rPr>
        <w:t>Orgelnummer 1453</w:t>
      </w:r>
    </w:p>
    <w:p>
      <w:pPr>
        <w:pStyle w:val="T3Lit"/>
        <w:jc w:val="start"/>
        <w:rPr>
          <w:lang w:val="nl-NL"/>
        </w:rPr>
      </w:pPr>
      <w:r>
        <w:rPr>
          <w:lang w:val="nl-NL"/>
        </w:rPr>
      </w:r>
    </w:p>
    <w:p>
      <w:pPr>
        <w:pStyle w:val="Heading2"/>
        <w:jc w:val="both"/>
        <w:rPr>
          <w:i w:val="false"/>
          <w:i w:val="false"/>
        </w:rPr>
      </w:pPr>
      <w:r>
        <w:rPr>
          <w:i w:val="false"/>
        </w:rPr>
        <w:t>Historische gegevens</w:t>
      </w:r>
    </w:p>
    <w:p>
      <w:pPr>
        <w:pStyle w:val="T1"/>
        <w:jc w:val="start"/>
        <w:rPr>
          <w:i/>
          <w:i/>
          <w:lang w:val="nl-NL"/>
        </w:rPr>
      </w:pPr>
      <w:r>
        <w:rPr>
          <w:i/>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1916</w:t>
      </w:r>
    </w:p>
    <w:p>
      <w:pPr>
        <w:pStyle w:val="T1"/>
        <w:jc w:val="start"/>
        <w:rPr>
          <w:lang w:val="nl-NL"/>
        </w:rPr>
      </w:pPr>
      <w:r>
        <w:rPr>
          <w:lang w:val="nl-NL"/>
        </w:rPr>
      </w:r>
    </w:p>
    <w:p>
      <w:pPr>
        <w:pStyle w:val="T1"/>
        <w:jc w:val="start"/>
        <w:rPr>
          <w:lang w:val="nl-NL"/>
        </w:rPr>
      </w:pPr>
      <w:r>
        <w:rPr>
          <w:lang w:val="nl-NL"/>
        </w:rPr>
        <w:t>Kerk- en Concertorgelfabriek v/h H. Spanjaard 1946</w:t>
      </w:r>
    </w:p>
    <w:p>
      <w:pPr>
        <w:pStyle w:val="T1"/>
        <w:numPr>
          <w:ilvl w:val="0"/>
          <w:numId w:val="2"/>
        </w:numPr>
        <w:jc w:val="start"/>
        <w:rPr>
          <w:lang w:val="nl-NL"/>
        </w:rPr>
      </w:pPr>
      <w:r>
        <w:rPr>
          <w:lang w:val="nl-NL"/>
        </w:rPr>
        <w:t>ventiel verwijderd; pneumatische tremulant aangebracht</w:t>
      </w:r>
    </w:p>
    <w:p>
      <w:pPr>
        <w:pStyle w:val="T1"/>
        <w:numPr>
          <w:ilvl w:val="0"/>
          <w:numId w:val="2"/>
        </w:numPr>
        <w:jc w:val="start"/>
        <w:rPr/>
      </w:pPr>
      <w:r>
        <w:rPr>
          <w:lang w:val="nl-NL"/>
        </w:rPr>
        <w:t>- Voix Celeste 8</w:t>
      </w:r>
      <w:r>
        <w:rPr/>
        <w:t>'</w:t>
      </w:r>
      <w:r>
        <w:rPr>
          <w:lang w:val="nl-NL"/>
        </w:rPr>
        <w:t>, + Quint 2 2/3</w:t>
      </w:r>
      <w:r>
        <w:rPr/>
        <w:t>'</w:t>
      </w:r>
      <w:r>
        <w:rPr>
          <w:lang w:val="nl-NL"/>
        </w:rPr>
        <w:t>, Cornet D 3 st. $ 5 st.</w:t>
      </w:r>
    </w:p>
    <w:p>
      <w:pPr>
        <w:pStyle w:val="T1"/>
        <w:jc w:val="start"/>
        <w:rPr>
          <w:lang w:val="nl-NL"/>
        </w:rPr>
      </w:pPr>
      <w:r>
        <w:rPr>
          <w:lang w:val="nl-NL"/>
        </w:rPr>
      </w:r>
    </w:p>
    <w:p>
      <w:pPr>
        <w:pStyle w:val="Heading2"/>
        <w:jc w:val="both"/>
        <w:rPr>
          <w:i w:val="false"/>
          <w:i w:val="false"/>
        </w:rPr>
      </w:pPr>
      <w:r>
        <w:rPr>
          <w:i w:val="false"/>
        </w:rPr>
        <w:t>Technische gegevens</w:t>
      </w:r>
    </w:p>
    <w:p>
      <w:pPr>
        <w:pStyle w:val="T1"/>
        <w:jc w:val="start"/>
        <w:rPr>
          <w:i/>
          <w:i/>
          <w:lang w:val="nl-NL"/>
        </w:rPr>
      </w:pPr>
      <w:r>
        <w:rPr>
          <w:i/>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93" w:type="dxa"/>
        <w:jc w:val="start"/>
        <w:tblInd w:w="-108" w:type="dxa"/>
        <w:tblLayout w:type="fixed"/>
        <w:tblCellMar>
          <w:top w:w="0" w:type="dxa"/>
          <w:start w:w="108" w:type="dxa"/>
          <w:bottom w:w="0" w:type="dxa"/>
          <w:end w:w="108" w:type="dxa"/>
        </w:tblCellMar>
      </w:tblPr>
      <w:tblGrid>
        <w:gridCol w:w="1242"/>
        <w:gridCol w:w="851"/>
      </w:tblGrid>
      <w:tr>
        <w:trPr/>
        <w:tc>
          <w:tcPr>
            <w:tcW w:w="1242" w:type="dxa"/>
            <w:tcBorders/>
          </w:tcPr>
          <w:p>
            <w:pPr>
              <w:pStyle w:val="T4dispositie"/>
              <w:jc w:val="start"/>
              <w:rPr>
                <w:i/>
                <w:i/>
                <w:lang w:val="nl-NL"/>
              </w:rPr>
            </w:pPr>
            <w:r>
              <w:rPr>
                <w:i/>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85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nl-NL"/>
              </w:rPr>
            </w:pPr>
            <w:r>
              <w:rPr>
                <w:lang w:val="nl-NL"/>
              </w:rPr>
              <w:t>2 2/3'</w:t>
            </w:r>
          </w:p>
          <w:p>
            <w:pPr>
              <w:pStyle w:val="T4dispositie"/>
              <w:jc w:val="start"/>
              <w:rPr>
                <w:lang w:val="nl-NL"/>
              </w:rPr>
            </w:pPr>
            <w:r>
              <w:rPr>
                <w:lang w:val="nl-NL"/>
              </w:rPr>
              <w:t>2</w:t>
            </w:r>
            <w:r>
              <w:rPr/>
              <w:t>'</w:t>
            </w:r>
          </w:p>
          <w:p>
            <w:pPr>
              <w:pStyle w:val="T4dispositie"/>
              <w:jc w:val="start"/>
              <w:rPr>
                <w:lang w:val="nl-NL"/>
              </w:rPr>
            </w:pPr>
            <w:r>
              <w:rPr>
                <w:lang w:val="nl-NL"/>
              </w:rPr>
              <w:t>3 st.*</w:t>
            </w:r>
          </w:p>
        </w:tc>
      </w:tr>
    </w:tbl>
    <w:p>
      <w:pPr>
        <w:pStyle w:val="T4dispositie"/>
        <w:rPr/>
      </w:pPr>
      <w:r>
        <w:rPr/>
      </w:r>
    </w:p>
    <w:p>
      <w:pPr>
        <w:pStyle w:val="T4dispositie"/>
        <w:rPr>
          <w:lang w:val="nl-NL"/>
        </w:rPr>
      </w:pPr>
      <w:r>
        <w:rPr>
          <w:lang w:val="nl-NL"/>
        </w:rPr>
        <w:t>* in werkelijkheid 5 st.</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(1916)</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rPr>
      </w:pPr>
      <w:r>
        <w:rPr>
          <w:i w:val="false"/>
        </w:rPr>
        <w:t>Bijzonderheden</w:t>
      </w:r>
    </w:p>
    <w:p>
      <w:pPr>
        <w:pStyle w:val="T1"/>
        <w:jc w:val="start"/>
        <w:rPr>
          <w:i/>
          <w:i/>
        </w:rPr>
      </w:pPr>
      <w:r>
        <w:rPr>
          <w:i/>
        </w:rPr>
      </w:r>
    </w:p>
    <w:p>
      <w:pPr>
        <w:pStyle w:val="T1"/>
        <w:jc w:val="start"/>
        <w:rPr>
          <w:lang w:val="nl-NL"/>
        </w:rPr>
      </w:pPr>
      <w:r>
        <w:rPr>
          <w:lang w:val="nl-NL"/>
        </w:rPr>
        <w:t>De frontpijpen zijn van zink, bespoten met aluminiumverf. Alle 31 frontpijpen zijn sprekend.</w:t>
      </w:r>
    </w:p>
    <w:p>
      <w:pPr>
        <w:pStyle w:val="T1"/>
        <w:jc w:val="start"/>
        <w:rPr/>
      </w:pPr>
      <w:r>
        <w:rPr/>
        <w:t>Het handklavier is een eiken staartklavier. De ondertoetsen zijn belegd met celluloid. Het pedaalklavier is van eiken, de boventoetsen bezitten een uniforme, korte lengtemaat.</w:t>
      </w:r>
    </w:p>
    <w:p>
      <w:pPr>
        <w:pStyle w:val="T1"/>
        <w:jc w:val="start"/>
        <w:rPr/>
      </w:pPr>
      <w:r>
        <w:rPr/>
        <w:t xml:space="preserve">De registerknoppen zijn boven de lessenaar geplaatst. </w:t>
      </w:r>
      <w:r>
        <w:rPr>
          <w:lang w:val="nl-NL"/>
        </w:rPr>
        <w:t xml:space="preserve">Ze hebben witte porseleinen naamplaatjes. </w:t>
      </w:r>
      <w:r>
        <w:rPr/>
        <w:t>Voor de Tremulant en de Quint zijn in l946 afwijkende plaatjes aangebracht.</w:t>
      </w:r>
    </w:p>
    <w:p>
      <w:pPr>
        <w:pStyle w:val="T1"/>
        <w:jc w:val="start"/>
        <w:rPr/>
      </w:pPr>
      <w:r>
        <w:rPr/>
        <w:t>Het windtoestel is onder in de kas geplaatst. De handpomp bevindt zich in de rechter zijwand, samen met het windzicht.</w:t>
      </w:r>
    </w:p>
    <w:p>
      <w:pPr>
        <w:pStyle w:val="T1"/>
        <w:jc w:val="start"/>
        <w:rPr/>
      </w:pPr>
      <w:r>
        <w:rPr/>
        <w:t>De eiken lade heeft drie opliggende voorslagen. De cancelvolgorde is alsvolgt: fis d B Gis c e gis / e³ - b / Fis E D C Cis Dis F / a - f³ / g dis H G A cis f. (f aan klaviatuurzijde). De pijpstokken zijn van mahonie.</w:t>
      </w:r>
    </w:p>
    <w:p>
      <w:pPr>
        <w:pStyle w:val="T1"/>
        <w:jc w:val="start"/>
        <w:rPr/>
      </w:pPr>
      <w:r>
        <w:rPr/>
        <w:t xml:space="preserve">In 1946 is voor de Cornet de betreffende pijpstok aan de achterzijde van de lade verbreed, waardoor deze nu over de achterregel van het cancellenraam heen steekt. </w:t>
      </w:r>
      <w:r>
        <w:rPr>
          <w:lang w:val="nl-NL"/>
        </w:rPr>
        <w:t xml:space="preserve">De Prestant 8' spreekt op de tonen C-Dis in de Bourdon, E-h¹ spreken in het front. De Bourdon heeft houten pijpen in het groot octaaf. </w:t>
      </w:r>
      <w:r>
        <w:rPr/>
        <w:t xml:space="preserve">De Viola is in het groot octaaf gecombineerd met de Prestant, de Aeoline was in het groot octaaf gecombineerd met de Bourdon. </w:t>
      </w:r>
      <w:r>
        <w:rPr>
          <w:lang w:val="nl-NL"/>
        </w:rPr>
        <w:t>De Viola heeft pijpwerk van spotted metal. De Octaaf 4' heeft zinken pijpen voor C-Fis. De Fluit 4' is gedekt, de twaalf kleinste pijpen zijn open, conisch. Het acht-voets koor van de Cornet heeft gedekte pijpen, waarvan c¹ - f¹ zijn vervoerd boven de cancellen voor C-Fis.</w:t>
      </w:r>
    </w:p>
    <w:p>
      <w:pPr>
        <w:pStyle w:val="T1"/>
        <w:jc w:val="start"/>
        <w:rPr/>
      </w:pPr>
      <w:r>
        <w:rPr/>
        <w:t>Een groot deel van het pijpwerk lijkt in eigen werkplaats gemaakt te zijn. De gedekten bezitten rond geritste, de prestanten spits geritste labia. De toonnamen bij deze pijpen zijn handmatig gekrast. De zinken pijpen en de pijpen van de Viola zullen toegeleverde exemplaren zijn.</w:t>
      </w:r>
    </w:p>
    <w:p>
      <w:pPr>
        <w:pStyle w:val="T1"/>
        <w:jc w:val="start"/>
        <w:rPr/>
      </w:pPr>
      <w:r>
        <w:rPr>
          <w:lang w:val="nl-NL"/>
        </w:rPr>
        <w:t>Expressions zijn toegepast bij alle pijpen van Prestant en Viola, bij de Octaaf 4' tot en met f² en bij de Octaaf 2' tot en met f¹. Bij de Cornet bezit het vier-voets koor diep ingesneden krullen tot en met fis², expressions zijn te zien bij c¹ - h¹ 2 2/3', c¹ - fis¹ 2’en c¹ - d¹ 1 3/5'.</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overflowPunct w:val="false"/>
      <w:autoSpaceDE w:val="false"/>
      <w:bidi w:val="0"/>
      <w:textAlignment w:val="baseline"/>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Map">
    <w:name w:val="Document Map"/>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2010-03-19T22:46:00Z</dcterms:created>
  <dc:creator>Roger</dc:creator>
  <dc:description/>
  <dc:language>en-US</dc:language>
  <cp:lastModifiedBy>NIvO</cp:lastModifiedBy>
  <cp:lastPrinted>2001-10-30T14:58:00Z</cp:lastPrinted>
  <dcterms:modified xsi:type="dcterms:W3CDTF">2010-03-23T20:08:00Z</dcterms:modified>
  <cp:revision>4</cp:revision>
  <dc:subject/>
  <dc:title>Gellicum / 1854</dc:title>
</cp:coreProperties>
</file>