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Uithuizen / 1916</w:t>
      </w:r>
    </w:p>
    <w:p>
      <w:pPr>
        <w:pStyle w:val="Heading2"/>
        <w:ind w:start="0" w:end="0" w:hanging="0"/>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Al in de vroege 18e eeuw beschikte Uithuizen over een ‘vermaning’ - Doopsgezinde Kerk: uit een acte uit 1735 wordt erover gerept. In 1868 werd dit gebouw vervangen door c.q. verbouwd tot de huidige kerk. In 1992 werden de banken, opgesteld ter weerszijden van de luxe granito vloer, verwijderd, waardoor het huidige ‘zaalkarakter’ van het gebouw is ontstaan.</w:t>
      </w:r>
    </w:p>
    <w:p>
      <w:pPr>
        <w:pStyle w:val="T1"/>
        <w:jc w:val="start"/>
        <w:rPr>
          <w:i/>
          <w:i/>
          <w:iCs/>
          <w:lang w:val="nl-NL"/>
        </w:rPr>
      </w:pPr>
      <w:r>
        <w:rPr>
          <w:i/>
          <w:iCs/>
          <w:lang w:val="nl-NL"/>
        </w:rPr>
      </w:r>
    </w:p>
    <w:p>
      <w:pPr>
        <w:pStyle w:val="T1"/>
        <w:jc w:val="start"/>
        <w:rPr>
          <w:lang w:val="nl-NL"/>
        </w:rPr>
      </w:pPr>
      <w:r>
        <w:rPr>
          <w:lang w:val="nl-NL"/>
        </w:rPr>
        <w:t>Kas: 1916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De kleinere orgels van de firma Standaart zijn evenals die van de firma Dekker vaak regelrechte standaard-orgels, ook qua front. Het fronttype dat Standaart in Uithuizen koos is een voorbeeld van zo’n standaardfront. De basis ervan ligt in de 19e eeuw, toen met name de firma Bakker &amp; Timmenga een andere dan klassieke indeling van de tussenvelden presenteerde: het onderste veld met een v-vormig labiumverloop en een rondboog, het bovenste veld als in de 18e eeuw, met de grootste pijp tegen de middentoren en een naar buiten in een boogje oplopende labiumlijn. Standaart veranderde in het basisconcept twee elementen: hij koos voor spitse torens links en rechts in plaats van de ronde torens van Bakker &amp; Timmenga (ook firma’s als Adema en Hardorff pasten overigens varianten toe), maakte de bovenste tussenvelden iets minder gedrongen en maakte de tussenvelden vlak. Het snijwerk is bij Standaart compleet: er zijn voluten, bekroningen en snijwerk boven- en onderin de torens en velden. Wel is het eenvoudig: in de voluten zijn simpele trompetvormen gestoken, onder de torens zijn grove acanthusbladen te zien. Al met al een met zorg ontwikkelde rationalisering van het Friese voorbeeld.</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Groninger Orgelbezit van Adorp tot Zijldijk. 1 Hunsingo</w:t>
      </w:r>
      <w:r>
        <w:rPr>
          <w:lang w:val="nl-NL"/>
        </w:rPr>
        <w:t>. Groningen, 1994, 92-93.</w:t>
      </w:r>
    </w:p>
    <w:p>
      <w:pPr>
        <w:pStyle w:val="T3Lit"/>
        <w:rPr/>
      </w:pPr>
      <w:r>
        <w:rPr>
          <w:i/>
          <w:iCs/>
          <w:lang w:val="nl-NL"/>
        </w:rPr>
        <w:t>Het orgel van de Doopsgezinde kerk van Uithuizen</w:t>
      </w:r>
      <w:r>
        <w:rPr>
          <w:lang w:val="nl-NL"/>
        </w:rPr>
        <w:t>. Z.p. [Uithuizen], z.j. [1999].</w:t>
      </w:r>
    </w:p>
    <w:p>
      <w:pPr>
        <w:pStyle w:val="T3Lit"/>
        <w:rPr>
          <w:lang w:val="nl-NL"/>
        </w:rPr>
      </w:pPr>
      <w:r>
        <w:rPr>
          <w:lang w:val="nl-NL"/>
        </w:rPr>
        <w:t>Zang en Spel 7 (1999), uitgave van Doopsgezinde Werkgroep Kerkmuziek</w:t>
      </w:r>
    </w:p>
    <w:p>
      <w:pPr>
        <w:pStyle w:val="T3Lit"/>
        <w:rPr>
          <w:lang w:val="nl-NL"/>
        </w:rPr>
      </w:pPr>
      <w:r>
        <w:rPr>
          <w:lang w:val="nl-NL"/>
        </w:rPr>
      </w:r>
    </w:p>
    <w:p>
      <w:pPr>
        <w:pStyle w:val="T3Lit"/>
        <w:rPr>
          <w:lang w:val="nl-NL"/>
        </w:rPr>
      </w:pPr>
      <w:r>
        <w:rPr>
          <w:lang w:val="nl-NL"/>
        </w:rPr>
        <w:t>Monumentnummer 515328</w:t>
      </w:r>
    </w:p>
    <w:p>
      <w:pPr>
        <w:pStyle w:val="T3Lit"/>
        <w:rPr>
          <w:lang w:val="nl-NL"/>
        </w:rPr>
      </w:pPr>
      <w:r>
        <w:rPr>
          <w:lang w:val="nl-NL"/>
        </w:rPr>
        <w:t>Orgelnummer 1976</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 Standaart</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1916</w:t>
      </w:r>
    </w:p>
    <w:p>
      <w:pPr>
        <w:pStyle w:val="T1"/>
        <w:jc w:val="start"/>
        <w:rPr>
          <w:lang w:val="nl-NL"/>
        </w:rPr>
      </w:pPr>
      <w:r>
        <w:rPr>
          <w:lang w:val="nl-NL"/>
        </w:rPr>
      </w:r>
    </w:p>
    <w:p>
      <w:pPr>
        <w:pStyle w:val="T1"/>
        <w:jc w:val="start"/>
        <w:rPr>
          <w:lang w:val="nl-NL"/>
        </w:rPr>
      </w:pPr>
      <w:r>
        <w:rPr>
          <w:lang w:val="nl-NL"/>
        </w:rPr>
        <w:t>Fa. M. Spiering 1937</w:t>
      </w:r>
    </w:p>
    <w:p>
      <w:pPr>
        <w:pStyle w:val="T1"/>
        <w:numPr>
          <w:ilvl w:val="0"/>
          <w:numId w:val="2"/>
        </w:numPr>
        <w:jc w:val="start"/>
        <w:rPr>
          <w:lang w:val="nl-NL"/>
        </w:rPr>
      </w:pPr>
      <w:r>
        <w:rPr>
          <w:lang w:val="nl-NL"/>
        </w:rPr>
        <w:t>windmotor geplaatst</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pneumatiekbuis registertractuur vervangen door plastic slang</w:t>
      </w:r>
    </w:p>
    <w:p>
      <w:pPr>
        <w:pStyle w:val="T1"/>
        <w:jc w:val="start"/>
        <w:rPr>
          <w:lang w:val="nl-NL"/>
        </w:rPr>
      </w:pPr>
      <w:r>
        <w:rPr>
          <w:lang w:val="nl-NL"/>
        </w:rPr>
      </w:r>
    </w:p>
    <w:p>
      <w:pPr>
        <w:pStyle w:val="T1"/>
        <w:jc w:val="start"/>
        <w:rPr>
          <w:lang w:val="nl-NL"/>
        </w:rPr>
      </w:pPr>
      <w:r>
        <w:rPr>
          <w:lang w:val="nl-NL"/>
        </w:rPr>
        <w:t>Mense Ruiter Orgelmakers 1999</w:t>
      </w:r>
    </w:p>
    <w:p>
      <w:pPr>
        <w:pStyle w:val="T1"/>
        <w:numPr>
          <w:ilvl w:val="0"/>
          <w:numId w:val="2"/>
        </w:numPr>
        <w:jc w:val="start"/>
        <w:rPr>
          <w:lang w:val="nl-NL"/>
        </w:rPr>
      </w:pPr>
      <w:r>
        <w:rPr>
          <w:lang w:val="nl-NL"/>
        </w:rPr>
        <w:t>nieuwe windmotor in de nieuwe dempkist</w:t>
      </w:r>
    </w:p>
    <w:p>
      <w:pPr>
        <w:pStyle w:val="T1"/>
        <w:numPr>
          <w:ilvl w:val="0"/>
          <w:numId w:val="2"/>
        </w:numPr>
        <w:jc w:val="start"/>
        <w:rPr>
          <w:lang w:val="nl-NL"/>
        </w:rPr>
      </w:pPr>
      <w:r>
        <w:rPr>
          <w:lang w:val="nl-NL"/>
        </w:rPr>
        <w:t>reparatie pneumatiek en beschadigd pijpwerk</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839" w:type="dxa"/>
        <w:jc w:val="start"/>
        <w:tblInd w:w="0" w:type="dxa"/>
        <w:tblLayout w:type="fixed"/>
        <w:tblCellMar>
          <w:top w:w="0" w:type="dxa"/>
          <w:start w:w="70" w:type="dxa"/>
          <w:bottom w:w="0" w:type="dxa"/>
          <w:end w:w="70" w:type="dxa"/>
        </w:tblCellMar>
      </w:tblPr>
      <w:tblGrid>
        <w:gridCol w:w="1737"/>
        <w:gridCol w:w="480"/>
        <w:gridCol w:w="933"/>
        <w:gridCol w:w="689"/>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 dolce</w:t>
            </w:r>
          </w:p>
          <w:p>
            <w:pPr>
              <w:pStyle w:val="T4dispositie"/>
              <w:rPr>
                <w:lang w:val="nl-NL"/>
              </w:rPr>
            </w:pPr>
            <w:r>
              <w:rPr>
                <w:lang w:val="nl-NL"/>
              </w:rPr>
              <w:t>Woudfluit</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c>
          <w:tcPr>
            <w:tcW w:w="933"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68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 [stilgelegd]</w:t>
      </w:r>
    </w:p>
    <w:p>
      <w:pPr>
        <w:pStyle w:val="T1"/>
        <w:jc w:val="start"/>
        <w:rPr>
          <w:lang w:val="nl-NL"/>
        </w:rPr>
      </w:pPr>
      <w:r>
        <w:rPr>
          <w:lang w:val="nl-NL"/>
        </w:rPr>
        <w:t>drukknoppen onder het manuaal T[utti] F[orte] P[iano] A[fsteller]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 xml:space="preserve">Pedaalomvang </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 xml:space="preserve">Windvoorziening </w:t>
      </w:r>
    </w:p>
    <w:p>
      <w:pPr>
        <w:pStyle w:val="T1"/>
        <w:jc w:val="start"/>
        <w:rPr>
          <w:lang w:val="nl-NL"/>
        </w:rPr>
      </w:pPr>
      <w:r>
        <w:rPr>
          <w:lang w:val="nl-NL"/>
        </w:rPr>
        <w:t>magazijnbalg met twee schepbalgen (schepbalgen stilgelegd)</w:t>
      </w:r>
    </w:p>
    <w:p>
      <w:pPr>
        <w:pStyle w:val="T1"/>
        <w:jc w:val="start"/>
        <w:rPr>
          <w:lang w:val="nl-NL"/>
        </w:rPr>
      </w:pPr>
      <w:r>
        <w:rPr>
          <w:lang w:val="nl-NL"/>
        </w:rPr>
        <w:t>Winddruk</w:t>
      </w:r>
    </w:p>
    <w:p>
      <w:pPr>
        <w:pStyle w:val="T1"/>
        <w:jc w:val="start"/>
        <w:rPr>
          <w:lang w:val="nl-NL"/>
        </w:rPr>
      </w:pPr>
      <w:r>
        <w:rPr>
          <w:lang w:val="nl-NL"/>
        </w:rPr>
        <w:t>86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Een in alle opzichten standaard Standaart-orgel: het front werd door de firma tientallen keren toegepast, de dispositie is een eenvoudige variatie op het themaconcept dat de firma in de eerste decennia toepaste, en ook de techniek is ‘standaard voor Standaart’: pneumatiek, geheel werkend met inlatende wind, gekoppeld aan een kegellade die in het midden is voorzien van de windkast voor de registerpneumatiek. Wordt deze registerkast direct uit de magazijnbalg gevoed, het apparaat voor de toetspneumatiek, langs de achterzijde van de lade aangebracht krijgt zijn wind via de registerkast. De apparaten van de klaviatuur zijn van mahonie, en worden direct uit de balg gevoed. Met uitzondering van de plastic registerpneumatiekbuis is het orgel geheel origineel.</w:t>
      </w:r>
    </w:p>
    <w:p>
      <w:pPr>
        <w:pStyle w:val="T1"/>
        <w:jc w:val="start"/>
        <w:rPr>
          <w:lang w:val="nl-NL"/>
        </w:rPr>
      </w:pPr>
      <w:r>
        <w:rPr>
          <w:lang w:val="nl-NL"/>
        </w:rPr>
        <w:t>De kast is geheel van grenen, beschilderd in een eenvoudige eikenimitatie. Het pijpwerk in de torens spreekt, evenals de pijpen in de onderste tussenvelden (op de grootste pijp van het linker tussenveld na). Het frontpijpwerk is in 1999 versterkt met nieuwe stukken orgelmetaal.</w:t>
      </w:r>
    </w:p>
    <w:p>
      <w:pPr>
        <w:pStyle w:val="T1"/>
        <w:jc w:val="start"/>
        <w:rPr>
          <w:lang w:val="nl-NL"/>
        </w:rPr>
      </w:pPr>
      <w:r>
        <w:rPr>
          <w:lang w:val="nl-NL"/>
        </w:rPr>
        <w:t>De windlade is van eiken. De pijpstokken, die steeds per twee registers zijn aangebracht, bestaan uit een laag eiken, met daarop (verlijmd) een laag mahonie. De membraanlatten zijn van grenen en dragen elk de membranen van drie tot vijf toetsen.</w:t>
      </w:r>
    </w:p>
    <w:p>
      <w:pPr>
        <w:pStyle w:val="T1"/>
        <w:jc w:val="start"/>
        <w:rPr>
          <w:lang w:val="nl-NL"/>
        </w:rPr>
      </w:pPr>
      <w:r>
        <w:rPr>
          <w:lang w:val="nl-NL"/>
        </w:rPr>
        <w:t>De opliggende tremulant staat op de registerkast en is daaraan via een klein kanaal gekoppeld.</w:t>
      </w:r>
    </w:p>
    <w:p>
      <w:pPr>
        <w:pStyle w:val="T1"/>
        <w:jc w:val="start"/>
        <w:rPr>
          <w:lang w:val="nl-NL"/>
        </w:rPr>
      </w:pPr>
      <w:r>
        <w:rPr>
          <w:lang w:val="nl-NL"/>
        </w:rPr>
        <w:t>Alle pijpen zijn gemaakt van orgelmetaal. Afwijkend zijn Roerfluit en Octaaf, die gestanste labia hebben en een geringere wanddikte dan de andere registers. Opvallend is bij deze registers dat op de voeten de toonnamen in schrijfletters staan en op de corpora in slagletters. Op de hoogste 12 pijpen van de Flute en de hoogste 10 van de Woudfluit na hebben alle open pijpen expressions. Typerend voor Standaart is de wijze waarop deze zijn aangebracht: links (vanaf de achterzijde van de pijp gezien) naast de overlangse soldeernaad. Prestant (binnenpijpen) en Octaaf hebben geen baarden, de overige registers wel. Bij de fluiten zijn rechthoekige, schuin afgekant zijbaarden aangebracht, bij de frontpijpen van de Prestant ronde. De Viola di Gamba en de Voix Celeste hebben freinzen die star zijn aangebracht: niet met een gebogen messingstrookje dat ze voor de kernspleet houdt, maar als onderdeel van een schuin geplaatste kastbaard, waarvan de armen zodanig verlengd zijn dat ze tegen de zijwanden van de pijpen, dus naast de labiumopening kunnen worden vastgesoldeerd. Dergelijke baarden worden ook wel kaakjes genoemd. De freins van de Voix Celeste zijn recht, die van de Viola di Gamba zijn naar binnen gedrukt. De fluitregisters hebben boogvormige opsneden, de strijkers en de prestanten rechte opsneden.</w:t>
      </w:r>
    </w:p>
    <w:p>
      <w:pPr>
        <w:pStyle w:val="T1"/>
        <w:jc w:val="start"/>
        <w:rPr>
          <w:lang w:val="nl-NL"/>
        </w:rPr>
      </w:pPr>
      <w:r>
        <w:rPr>
          <w:lang w:val="nl-NL"/>
        </w:rPr>
        <w:t>C-H van de Roerfluit en de Viola di Gamba is een transmissie van c-h van de Bourdon 16'. C-h van de Bourdon zijn van grenen en staan in twee rijen tegen de rechterzijwand van de kast; de rest staat, in metaal, op de lade. De factuur is gelijk aan die van de Flute dolce, de mensuur echter aanmerkelijk wijder. De Voix Celeste spreekt vanaf f.</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2010-03-23T15:57:00Z</dcterms:created>
  <dc:creator>WS1</dc:creator>
  <dc:description/>
  <dc:language>en-US</dc:language>
  <cp:lastModifiedBy>NIvO</cp:lastModifiedBy>
  <dcterms:modified xsi:type="dcterms:W3CDTF">2010-03-23T16:02:00Z</dcterms:modified>
  <cp:revision>3</cp:revision>
  <dc:subject/>
  <dc:title>Niekerk (Hunsingo) / 1883</dc:title>
</cp:coreProperties>
</file>